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F687D" w:rsidRDefault="008C5F16">
      <w:pPr>
        <w:pStyle w:val="Heading1"/>
        <w:jc w:val="center"/>
      </w:pPr>
      <w:bookmarkStart w:id="0" w:name="_gjdgxs" w:colFirst="0" w:colLast="0"/>
      <w:bookmarkEnd w:id="0"/>
      <w:r>
        <w:rPr>
          <w:u w:val="single"/>
        </w:rPr>
        <w:t>Project: Analyzing a Market Test</w:t>
      </w:r>
    </w:p>
    <w:p w:rsidR="004F687D" w:rsidRDefault="008C5F16">
      <w:pPr>
        <w:pStyle w:val="Heading2"/>
        <w:keepNext w:val="0"/>
        <w:keepLines w:val="0"/>
        <w:spacing w:before="240" w:after="40"/>
      </w:pPr>
      <w:r>
        <w:t>Step 1: Plan Your Analysis</w:t>
      </w:r>
    </w:p>
    <w:p w:rsidR="004F687D" w:rsidRDefault="008C5F16">
      <w:pPr>
        <w:numPr>
          <w:ilvl w:val="0"/>
          <w:numId w:val="3"/>
        </w:numPr>
        <w:spacing w:line="240" w:lineRule="auto"/>
        <w:ind w:hanging="360"/>
      </w:pPr>
      <w:r>
        <w:t>What is the performance metric you’ll use to evaluate the results of your test?</w:t>
      </w:r>
    </w:p>
    <w:p w:rsidR="004918F1" w:rsidRDefault="004918F1" w:rsidP="004918F1">
      <w:pPr>
        <w:spacing w:line="240" w:lineRule="auto"/>
      </w:pPr>
    </w:p>
    <w:p w:rsidR="00104C15" w:rsidRDefault="00906137" w:rsidP="00906137">
      <w:pPr>
        <w:spacing w:line="240" w:lineRule="auto"/>
      </w:pPr>
      <w:r w:rsidRPr="00906137">
        <w:t>Gross margin is the performance metric that I will use to evaluate the results of my test. We are interested in at least 18% increase in profit, and the gross margin is the only metric available for us to track it.</w:t>
      </w:r>
    </w:p>
    <w:p w:rsidR="00906137" w:rsidRPr="00906137" w:rsidRDefault="00906137" w:rsidP="00906137">
      <w:pPr>
        <w:spacing w:line="240" w:lineRule="auto"/>
      </w:pPr>
    </w:p>
    <w:p w:rsidR="004F687D" w:rsidRDefault="008C5F16">
      <w:pPr>
        <w:numPr>
          <w:ilvl w:val="0"/>
          <w:numId w:val="3"/>
        </w:numPr>
        <w:spacing w:line="240" w:lineRule="auto"/>
        <w:ind w:hanging="360"/>
      </w:pPr>
      <w:r>
        <w:t>What is the test period?</w:t>
      </w:r>
    </w:p>
    <w:p w:rsidR="004918F1" w:rsidRDefault="004918F1" w:rsidP="004918F1">
      <w:pPr>
        <w:spacing w:line="240" w:lineRule="auto"/>
      </w:pPr>
    </w:p>
    <w:p w:rsidR="004918F1" w:rsidRDefault="00104C15" w:rsidP="004918F1">
      <w:pPr>
        <w:spacing w:line="240" w:lineRule="auto"/>
      </w:pPr>
      <w:r w:rsidRPr="00104C15">
        <w:t>We are running test for 12 weeks</w:t>
      </w:r>
      <w:r>
        <w:t>:</w:t>
      </w:r>
      <w:r w:rsidRPr="00104C15">
        <w:t xml:space="preserve"> </w:t>
      </w:r>
      <w:r>
        <w:t>2016-April-29 to 2016-July-21.</w:t>
      </w:r>
    </w:p>
    <w:p w:rsidR="00104C15" w:rsidRDefault="00104C15" w:rsidP="004918F1">
      <w:pPr>
        <w:spacing w:line="240" w:lineRule="auto"/>
      </w:pPr>
    </w:p>
    <w:p w:rsidR="004F687D" w:rsidRDefault="008C5F16">
      <w:pPr>
        <w:numPr>
          <w:ilvl w:val="0"/>
          <w:numId w:val="3"/>
        </w:numPr>
        <w:spacing w:after="40" w:line="240" w:lineRule="auto"/>
        <w:ind w:hanging="360"/>
      </w:pPr>
      <w:r>
        <w:t>At what level (day, week, month, etc.) should the data be aggregated?</w:t>
      </w:r>
    </w:p>
    <w:p w:rsidR="004918F1" w:rsidRDefault="004918F1" w:rsidP="004918F1">
      <w:pPr>
        <w:spacing w:after="40" w:line="240" w:lineRule="auto"/>
      </w:pPr>
    </w:p>
    <w:p w:rsidR="004918F1" w:rsidRDefault="004918F1" w:rsidP="004918F1">
      <w:pPr>
        <w:spacing w:after="40" w:line="240" w:lineRule="auto"/>
      </w:pPr>
      <w:r>
        <w:t>The data should be aggregated at the week level.</w:t>
      </w:r>
    </w:p>
    <w:p w:rsidR="004918F1" w:rsidRDefault="004918F1" w:rsidP="004918F1">
      <w:pPr>
        <w:spacing w:after="40" w:line="240" w:lineRule="auto"/>
      </w:pPr>
    </w:p>
    <w:p w:rsidR="004F687D" w:rsidRDefault="008C5F16">
      <w:pPr>
        <w:pStyle w:val="Heading2"/>
        <w:keepNext w:val="0"/>
        <w:keepLines w:val="0"/>
        <w:spacing w:before="240" w:after="40"/>
      </w:pPr>
      <w:r>
        <w:t xml:space="preserve">Step 2: Clean Up Your Data </w:t>
      </w:r>
    </w:p>
    <w:p w:rsidR="004F687D" w:rsidRDefault="008C5F16">
      <w:pPr>
        <w:spacing w:line="240" w:lineRule="auto"/>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rsidR="004F687D" w:rsidRDefault="008C5F16">
      <w:pPr>
        <w:pStyle w:val="Heading2"/>
        <w:keepNext w:val="0"/>
        <w:keepLines w:val="0"/>
        <w:spacing w:before="240" w:after="40"/>
      </w:pPr>
      <w:r>
        <w:t>Step 3: Match Treatment and Control Units</w:t>
      </w:r>
    </w:p>
    <w:p w:rsidR="004F687D" w:rsidRDefault="008C5F16">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rsidR="004F687D" w:rsidRDefault="004F687D">
      <w:pPr>
        <w:spacing w:line="240" w:lineRule="auto"/>
      </w:pPr>
    </w:p>
    <w:p w:rsidR="004F687D" w:rsidRDefault="008C5F16">
      <w:pPr>
        <w:spacing w:line="240" w:lineRule="auto"/>
      </w:pPr>
      <w:r>
        <w:rPr>
          <w:i/>
        </w:rPr>
        <w:t xml:space="preserve">Apart from trend and seasonality... </w:t>
      </w:r>
    </w:p>
    <w:p w:rsidR="004F687D" w:rsidRDefault="008C5F16">
      <w:pPr>
        <w:numPr>
          <w:ilvl w:val="0"/>
          <w:numId w:val="2"/>
        </w:numPr>
        <w:spacing w:line="240" w:lineRule="auto"/>
        <w:ind w:hanging="360"/>
      </w:pPr>
      <w:r>
        <w:t xml:space="preserve">What control variables should be considered? Note: Only consider variables in the </w:t>
      </w:r>
      <w:proofErr w:type="spellStart"/>
      <w:r>
        <w:t>RoundRoastersStore</w:t>
      </w:r>
      <w:proofErr w:type="spellEnd"/>
      <w:r>
        <w:t xml:space="preserve"> file.</w:t>
      </w:r>
    </w:p>
    <w:p w:rsidR="000E25FF" w:rsidRDefault="000E25FF" w:rsidP="000E25FF">
      <w:pPr>
        <w:spacing w:line="240" w:lineRule="auto"/>
      </w:pPr>
    </w:p>
    <w:p w:rsidR="000E25FF" w:rsidRDefault="000E25FF" w:rsidP="000E25FF">
      <w:pPr>
        <w:spacing w:line="240" w:lineRule="auto"/>
      </w:pPr>
      <w:r>
        <w:t xml:space="preserve">The two numeric variables that we should consider are: </w:t>
      </w:r>
      <w:proofErr w:type="spellStart"/>
      <w:r>
        <w:t>AvgMonthSales</w:t>
      </w:r>
      <w:proofErr w:type="spellEnd"/>
      <w:r>
        <w:t xml:space="preserve"> and </w:t>
      </w:r>
      <w:proofErr w:type="spellStart"/>
      <w:r>
        <w:t>Sq_Ft</w:t>
      </w:r>
      <w:proofErr w:type="spellEnd"/>
      <w:r>
        <w:t>.</w:t>
      </w:r>
    </w:p>
    <w:p w:rsidR="00DA60D8" w:rsidRDefault="00DA60D8" w:rsidP="00DA60D8">
      <w:pPr>
        <w:spacing w:line="240" w:lineRule="auto"/>
      </w:pPr>
    </w:p>
    <w:p w:rsidR="00DA60D8" w:rsidRDefault="00DA60D8" w:rsidP="00DA60D8">
      <w:pPr>
        <w:numPr>
          <w:ilvl w:val="0"/>
          <w:numId w:val="2"/>
        </w:numPr>
        <w:spacing w:line="240" w:lineRule="auto"/>
        <w:ind w:hanging="360"/>
      </w:pPr>
      <w:r>
        <w:t xml:space="preserve">What is the correlation between </w:t>
      </w:r>
      <w:r w:rsidR="00F97858">
        <w:t>each</w:t>
      </w:r>
      <w:r>
        <w:t xml:space="preserve"> potential control variable and your performance metric?</w:t>
      </w:r>
    </w:p>
    <w:p w:rsidR="00DA60D8" w:rsidRDefault="00DA60D8" w:rsidP="00DA60D8">
      <w:pPr>
        <w:spacing w:line="240" w:lineRule="auto"/>
      </w:pPr>
    </w:p>
    <w:p w:rsidR="0000193F" w:rsidRDefault="00906137" w:rsidP="00DA60D8">
      <w:pPr>
        <w:spacing w:line="240" w:lineRule="auto"/>
      </w:pPr>
      <w:r w:rsidRPr="00906137">
        <w:t xml:space="preserve">Thanks to the Pearson Correlation Analysis, we see that </w:t>
      </w:r>
      <w:proofErr w:type="spellStart"/>
      <w:r w:rsidRPr="00906137">
        <w:t>AvgMonthSales</w:t>
      </w:r>
      <w:proofErr w:type="spellEnd"/>
      <w:r w:rsidRPr="00906137">
        <w:t xml:space="preserve"> has a high correlation of 0.99 with the performance metric, which is the Sum of Gross Margin. We can also observe that Square Feet has a weak correlation of -0.05</w:t>
      </w:r>
    </w:p>
    <w:p w:rsidR="0000193F" w:rsidRDefault="001C6531" w:rsidP="00DA60D8">
      <w:pPr>
        <w:spacing w:line="240" w:lineRule="auto"/>
      </w:pPr>
      <w:r>
        <w:rPr>
          <w:noProof/>
          <w:lang w:val="pl-PL"/>
        </w:rPr>
        <w:lastRenderedPageBreak/>
        <w:drawing>
          <wp:inline distT="0" distB="0" distL="0" distR="0">
            <wp:extent cx="577215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1524000"/>
                    </a:xfrm>
                    <a:prstGeom prst="rect">
                      <a:avLst/>
                    </a:prstGeom>
                    <a:noFill/>
                    <a:ln>
                      <a:noFill/>
                    </a:ln>
                  </pic:spPr>
                </pic:pic>
              </a:graphicData>
            </a:graphic>
          </wp:inline>
        </w:drawing>
      </w:r>
    </w:p>
    <w:p w:rsidR="0000193F" w:rsidRDefault="008D6D5D" w:rsidP="00DA60D8">
      <w:pPr>
        <w:spacing w:line="240" w:lineRule="auto"/>
        <w:rPr>
          <w:sz w:val="16"/>
          <w:szCs w:val="16"/>
        </w:rPr>
      </w:pPr>
      <w:r w:rsidRPr="009E1ABC">
        <w:rPr>
          <w:sz w:val="16"/>
          <w:szCs w:val="16"/>
        </w:rPr>
        <w:t xml:space="preserve">Figure 1. </w:t>
      </w:r>
      <w:r w:rsidRPr="008D6D5D">
        <w:rPr>
          <w:sz w:val="16"/>
          <w:szCs w:val="16"/>
        </w:rPr>
        <w:t>Pearson Correlation Analysis</w:t>
      </w:r>
    </w:p>
    <w:p w:rsidR="008D6D5D" w:rsidRDefault="008D6D5D" w:rsidP="00DA60D8">
      <w:pPr>
        <w:spacing w:line="240" w:lineRule="auto"/>
      </w:pPr>
    </w:p>
    <w:p w:rsidR="004F687D" w:rsidRDefault="008C5F16">
      <w:pPr>
        <w:numPr>
          <w:ilvl w:val="0"/>
          <w:numId w:val="2"/>
        </w:numPr>
        <w:spacing w:line="240" w:lineRule="auto"/>
        <w:ind w:hanging="360"/>
      </w:pPr>
      <w:r>
        <w:t>What control variables will you use to match treatment and control stores?</w:t>
      </w:r>
    </w:p>
    <w:p w:rsidR="008C6B3B" w:rsidRDefault="008C6B3B" w:rsidP="008C6B3B">
      <w:pPr>
        <w:spacing w:line="240" w:lineRule="auto"/>
      </w:pPr>
    </w:p>
    <w:p w:rsidR="008C6B3B" w:rsidRDefault="008C6B3B" w:rsidP="008C6B3B">
      <w:pPr>
        <w:spacing w:line="240" w:lineRule="auto"/>
      </w:pPr>
      <w:r>
        <w:t xml:space="preserve">I will use </w:t>
      </w:r>
      <w:proofErr w:type="spellStart"/>
      <w:r>
        <w:t>AvgMonthSales</w:t>
      </w:r>
      <w:proofErr w:type="spellEnd"/>
      <w:r>
        <w:t xml:space="preserve"> together with Seasonality and Trend when I will match </w:t>
      </w:r>
      <w:r w:rsidR="00F97858">
        <w:t>treatment</w:t>
      </w:r>
      <w:r>
        <w:t xml:space="preserve"> and control stores.</w:t>
      </w:r>
    </w:p>
    <w:p w:rsidR="008C6B3B" w:rsidRDefault="008C6B3B" w:rsidP="008C6B3B">
      <w:pPr>
        <w:spacing w:line="240" w:lineRule="auto"/>
      </w:pPr>
    </w:p>
    <w:p w:rsidR="004F687D" w:rsidRDefault="008C5F16">
      <w:pPr>
        <w:numPr>
          <w:ilvl w:val="0"/>
          <w:numId w:val="2"/>
        </w:numPr>
        <w:spacing w:line="240" w:lineRule="auto"/>
        <w:ind w:hanging="360"/>
      </w:pPr>
      <w:r>
        <w:t>Please fill out the table below with your treatment and control stores pairs:</w:t>
      </w:r>
    </w:p>
    <w:p w:rsidR="0000193F" w:rsidRDefault="0000193F" w:rsidP="0000193F">
      <w:pPr>
        <w:spacing w:line="240" w:lineRule="auto"/>
      </w:pPr>
    </w:p>
    <w:tbl>
      <w:tblPr>
        <w:tblStyle w:val="TableGrid"/>
        <w:tblW w:w="0" w:type="auto"/>
        <w:jc w:val="center"/>
        <w:tblLook w:val="04A0" w:firstRow="1" w:lastRow="0" w:firstColumn="1" w:lastColumn="0" w:noHBand="0" w:noVBand="1"/>
      </w:tblPr>
      <w:tblGrid>
        <w:gridCol w:w="1600"/>
        <w:gridCol w:w="1120"/>
        <w:gridCol w:w="926"/>
      </w:tblGrid>
      <w:tr w:rsidR="008C6B3B" w:rsidRPr="008C6B3B" w:rsidTr="008C6B3B">
        <w:trPr>
          <w:trHeight w:val="300"/>
          <w:jc w:val="center"/>
        </w:trPr>
        <w:tc>
          <w:tcPr>
            <w:tcW w:w="1600" w:type="dxa"/>
            <w:noWrap/>
            <w:hideMark/>
          </w:tcPr>
          <w:p w:rsidR="008C6B3B" w:rsidRPr="008C6B3B" w:rsidRDefault="008C6B3B" w:rsidP="008C6B3B">
            <w:r w:rsidRPr="008C6B3B">
              <w:t>Treatments</w:t>
            </w:r>
          </w:p>
        </w:tc>
        <w:tc>
          <w:tcPr>
            <w:tcW w:w="1120" w:type="dxa"/>
            <w:noWrap/>
            <w:hideMark/>
          </w:tcPr>
          <w:p w:rsidR="008C6B3B" w:rsidRPr="008C6B3B" w:rsidRDefault="008C6B3B" w:rsidP="008C6B3B">
            <w:r w:rsidRPr="008C6B3B">
              <w:t>Control 1</w:t>
            </w:r>
          </w:p>
        </w:tc>
        <w:tc>
          <w:tcPr>
            <w:tcW w:w="696" w:type="dxa"/>
            <w:noWrap/>
            <w:hideMark/>
          </w:tcPr>
          <w:p w:rsidR="008C6B3B" w:rsidRPr="008C6B3B" w:rsidRDefault="008C6B3B" w:rsidP="008C6B3B">
            <w:r w:rsidRPr="008C6B3B">
              <w:t>Control 2</w:t>
            </w:r>
          </w:p>
        </w:tc>
      </w:tr>
      <w:tr w:rsidR="008C6B3B" w:rsidRPr="008C6B3B" w:rsidTr="008C6B3B">
        <w:trPr>
          <w:trHeight w:val="300"/>
          <w:jc w:val="center"/>
        </w:trPr>
        <w:tc>
          <w:tcPr>
            <w:tcW w:w="1600" w:type="dxa"/>
            <w:noWrap/>
            <w:hideMark/>
          </w:tcPr>
          <w:p w:rsidR="008C6B3B" w:rsidRPr="008C6B3B" w:rsidRDefault="008C6B3B" w:rsidP="008C6B3B">
            <w:r w:rsidRPr="008C6B3B">
              <w:t>1664</w:t>
            </w:r>
          </w:p>
        </w:tc>
        <w:tc>
          <w:tcPr>
            <w:tcW w:w="1120" w:type="dxa"/>
            <w:noWrap/>
            <w:hideMark/>
          </w:tcPr>
          <w:p w:rsidR="008C6B3B" w:rsidRPr="008C6B3B" w:rsidRDefault="008C6B3B" w:rsidP="008C6B3B">
            <w:r w:rsidRPr="008C6B3B">
              <w:t>7162</w:t>
            </w:r>
          </w:p>
        </w:tc>
        <w:tc>
          <w:tcPr>
            <w:tcW w:w="696" w:type="dxa"/>
            <w:noWrap/>
            <w:hideMark/>
          </w:tcPr>
          <w:p w:rsidR="008C6B3B" w:rsidRPr="008C6B3B" w:rsidRDefault="008C6B3B" w:rsidP="008C6B3B">
            <w:r w:rsidRPr="008C6B3B">
              <w:t>8112</w:t>
            </w:r>
          </w:p>
        </w:tc>
      </w:tr>
      <w:tr w:rsidR="008C6B3B" w:rsidRPr="008C6B3B" w:rsidTr="008C6B3B">
        <w:trPr>
          <w:trHeight w:val="300"/>
          <w:jc w:val="center"/>
        </w:trPr>
        <w:tc>
          <w:tcPr>
            <w:tcW w:w="1600" w:type="dxa"/>
            <w:noWrap/>
            <w:hideMark/>
          </w:tcPr>
          <w:p w:rsidR="008C6B3B" w:rsidRPr="008C6B3B" w:rsidRDefault="008C6B3B" w:rsidP="008C6B3B">
            <w:r w:rsidRPr="008C6B3B">
              <w:t>1675</w:t>
            </w:r>
          </w:p>
        </w:tc>
        <w:tc>
          <w:tcPr>
            <w:tcW w:w="1120" w:type="dxa"/>
            <w:noWrap/>
            <w:hideMark/>
          </w:tcPr>
          <w:p w:rsidR="008C6B3B" w:rsidRPr="008C6B3B" w:rsidRDefault="008C6B3B" w:rsidP="008C6B3B">
            <w:r w:rsidRPr="008C6B3B">
              <w:t>1580</w:t>
            </w:r>
          </w:p>
        </w:tc>
        <w:tc>
          <w:tcPr>
            <w:tcW w:w="696" w:type="dxa"/>
            <w:noWrap/>
            <w:hideMark/>
          </w:tcPr>
          <w:p w:rsidR="008C6B3B" w:rsidRPr="008C6B3B" w:rsidRDefault="008C6B3B" w:rsidP="008C6B3B">
            <w:r w:rsidRPr="008C6B3B">
              <w:t>1807</w:t>
            </w:r>
          </w:p>
        </w:tc>
      </w:tr>
      <w:tr w:rsidR="008C6B3B" w:rsidRPr="008C6B3B" w:rsidTr="008C6B3B">
        <w:trPr>
          <w:trHeight w:val="300"/>
          <w:jc w:val="center"/>
        </w:trPr>
        <w:tc>
          <w:tcPr>
            <w:tcW w:w="1600" w:type="dxa"/>
            <w:noWrap/>
            <w:hideMark/>
          </w:tcPr>
          <w:p w:rsidR="008C6B3B" w:rsidRPr="008C6B3B" w:rsidRDefault="008C6B3B" w:rsidP="008C6B3B">
            <w:r w:rsidRPr="008C6B3B">
              <w:t>1696</w:t>
            </w:r>
          </w:p>
        </w:tc>
        <w:tc>
          <w:tcPr>
            <w:tcW w:w="1120" w:type="dxa"/>
            <w:noWrap/>
            <w:hideMark/>
          </w:tcPr>
          <w:p w:rsidR="008C6B3B" w:rsidRPr="008C6B3B" w:rsidRDefault="008C6B3B" w:rsidP="008C6B3B">
            <w:r w:rsidRPr="008C6B3B">
              <w:t>1863</w:t>
            </w:r>
          </w:p>
        </w:tc>
        <w:tc>
          <w:tcPr>
            <w:tcW w:w="696" w:type="dxa"/>
            <w:noWrap/>
            <w:hideMark/>
          </w:tcPr>
          <w:p w:rsidR="008C6B3B" w:rsidRPr="008C6B3B" w:rsidRDefault="008C6B3B" w:rsidP="008C6B3B">
            <w:r w:rsidRPr="008C6B3B">
              <w:t>1964</w:t>
            </w:r>
          </w:p>
        </w:tc>
      </w:tr>
      <w:tr w:rsidR="008C6B3B" w:rsidRPr="008C6B3B" w:rsidTr="008C6B3B">
        <w:trPr>
          <w:trHeight w:val="300"/>
          <w:jc w:val="center"/>
        </w:trPr>
        <w:tc>
          <w:tcPr>
            <w:tcW w:w="1600" w:type="dxa"/>
            <w:noWrap/>
            <w:hideMark/>
          </w:tcPr>
          <w:p w:rsidR="008C6B3B" w:rsidRPr="008C6B3B" w:rsidRDefault="008C6B3B" w:rsidP="008C6B3B">
            <w:r w:rsidRPr="008C6B3B">
              <w:t>1700</w:t>
            </w:r>
          </w:p>
        </w:tc>
        <w:tc>
          <w:tcPr>
            <w:tcW w:w="1120" w:type="dxa"/>
            <w:noWrap/>
            <w:hideMark/>
          </w:tcPr>
          <w:p w:rsidR="008C6B3B" w:rsidRPr="008C6B3B" w:rsidRDefault="008C6B3B" w:rsidP="008C6B3B">
            <w:r w:rsidRPr="008C6B3B">
              <w:t>1630</w:t>
            </w:r>
          </w:p>
        </w:tc>
        <w:tc>
          <w:tcPr>
            <w:tcW w:w="696" w:type="dxa"/>
            <w:noWrap/>
            <w:hideMark/>
          </w:tcPr>
          <w:p w:rsidR="008C6B3B" w:rsidRPr="008C6B3B" w:rsidRDefault="008C6B3B" w:rsidP="008C6B3B">
            <w:r w:rsidRPr="008C6B3B">
              <w:t>2014</w:t>
            </w:r>
          </w:p>
        </w:tc>
      </w:tr>
      <w:tr w:rsidR="008C6B3B" w:rsidRPr="008C6B3B" w:rsidTr="008C6B3B">
        <w:trPr>
          <w:trHeight w:val="300"/>
          <w:jc w:val="center"/>
        </w:trPr>
        <w:tc>
          <w:tcPr>
            <w:tcW w:w="1600" w:type="dxa"/>
            <w:noWrap/>
            <w:hideMark/>
          </w:tcPr>
          <w:p w:rsidR="008C6B3B" w:rsidRPr="008C6B3B" w:rsidRDefault="008C6B3B" w:rsidP="008C6B3B">
            <w:r w:rsidRPr="008C6B3B">
              <w:t>1712</w:t>
            </w:r>
          </w:p>
        </w:tc>
        <w:tc>
          <w:tcPr>
            <w:tcW w:w="1120" w:type="dxa"/>
            <w:noWrap/>
            <w:hideMark/>
          </w:tcPr>
          <w:p w:rsidR="008C6B3B" w:rsidRPr="008C6B3B" w:rsidRDefault="008C6B3B" w:rsidP="008C6B3B">
            <w:r w:rsidRPr="008C6B3B">
              <w:t>7434</w:t>
            </w:r>
          </w:p>
        </w:tc>
        <w:tc>
          <w:tcPr>
            <w:tcW w:w="696" w:type="dxa"/>
            <w:noWrap/>
            <w:hideMark/>
          </w:tcPr>
          <w:p w:rsidR="008C6B3B" w:rsidRPr="008C6B3B" w:rsidRDefault="008C6B3B" w:rsidP="008C6B3B">
            <w:r w:rsidRPr="008C6B3B">
              <w:t>8162</w:t>
            </w:r>
          </w:p>
        </w:tc>
      </w:tr>
      <w:tr w:rsidR="008C6B3B" w:rsidRPr="008C6B3B" w:rsidTr="008C6B3B">
        <w:trPr>
          <w:trHeight w:val="300"/>
          <w:jc w:val="center"/>
        </w:trPr>
        <w:tc>
          <w:tcPr>
            <w:tcW w:w="1600" w:type="dxa"/>
            <w:noWrap/>
            <w:hideMark/>
          </w:tcPr>
          <w:p w:rsidR="008C6B3B" w:rsidRPr="008C6B3B" w:rsidRDefault="008C6B3B" w:rsidP="008C6B3B">
            <w:r w:rsidRPr="008C6B3B">
              <w:t>2288</w:t>
            </w:r>
          </w:p>
        </w:tc>
        <w:tc>
          <w:tcPr>
            <w:tcW w:w="1120" w:type="dxa"/>
            <w:noWrap/>
            <w:hideMark/>
          </w:tcPr>
          <w:p w:rsidR="008C6B3B" w:rsidRPr="008C6B3B" w:rsidRDefault="008C6B3B" w:rsidP="008C6B3B">
            <w:r w:rsidRPr="008C6B3B">
              <w:t>2568</w:t>
            </w:r>
          </w:p>
        </w:tc>
        <w:tc>
          <w:tcPr>
            <w:tcW w:w="696" w:type="dxa"/>
            <w:noWrap/>
            <w:hideMark/>
          </w:tcPr>
          <w:p w:rsidR="008C6B3B" w:rsidRPr="008C6B3B" w:rsidRDefault="008C6B3B" w:rsidP="008C6B3B">
            <w:r w:rsidRPr="008C6B3B">
              <w:t>9081</w:t>
            </w:r>
          </w:p>
        </w:tc>
      </w:tr>
      <w:tr w:rsidR="008C6B3B" w:rsidRPr="008C6B3B" w:rsidTr="008C6B3B">
        <w:trPr>
          <w:trHeight w:val="300"/>
          <w:jc w:val="center"/>
        </w:trPr>
        <w:tc>
          <w:tcPr>
            <w:tcW w:w="1600" w:type="dxa"/>
            <w:noWrap/>
            <w:hideMark/>
          </w:tcPr>
          <w:p w:rsidR="008C6B3B" w:rsidRPr="008C6B3B" w:rsidRDefault="008C6B3B" w:rsidP="008C6B3B">
            <w:r w:rsidRPr="008C6B3B">
              <w:t>2293</w:t>
            </w:r>
          </w:p>
        </w:tc>
        <w:tc>
          <w:tcPr>
            <w:tcW w:w="1120" w:type="dxa"/>
            <w:noWrap/>
            <w:hideMark/>
          </w:tcPr>
          <w:p w:rsidR="008C6B3B" w:rsidRPr="008C6B3B" w:rsidRDefault="008C6B3B" w:rsidP="008C6B3B">
            <w:r w:rsidRPr="008C6B3B">
              <w:t>9524</w:t>
            </w:r>
          </w:p>
        </w:tc>
        <w:tc>
          <w:tcPr>
            <w:tcW w:w="696" w:type="dxa"/>
            <w:noWrap/>
            <w:hideMark/>
          </w:tcPr>
          <w:p w:rsidR="008C6B3B" w:rsidRPr="008C6B3B" w:rsidRDefault="008C6B3B" w:rsidP="008C6B3B">
            <w:r w:rsidRPr="008C6B3B">
              <w:t>12219</w:t>
            </w:r>
          </w:p>
        </w:tc>
      </w:tr>
      <w:tr w:rsidR="008C6B3B" w:rsidRPr="008C6B3B" w:rsidTr="008C6B3B">
        <w:trPr>
          <w:trHeight w:val="300"/>
          <w:jc w:val="center"/>
        </w:trPr>
        <w:tc>
          <w:tcPr>
            <w:tcW w:w="1600" w:type="dxa"/>
            <w:noWrap/>
            <w:hideMark/>
          </w:tcPr>
          <w:p w:rsidR="008C6B3B" w:rsidRPr="008C6B3B" w:rsidRDefault="008C6B3B" w:rsidP="008C6B3B">
            <w:r w:rsidRPr="008C6B3B">
              <w:t>2301</w:t>
            </w:r>
          </w:p>
        </w:tc>
        <w:tc>
          <w:tcPr>
            <w:tcW w:w="1120" w:type="dxa"/>
            <w:noWrap/>
            <w:hideMark/>
          </w:tcPr>
          <w:p w:rsidR="008C6B3B" w:rsidRPr="008C6B3B" w:rsidRDefault="008C6B3B" w:rsidP="008C6B3B">
            <w:r w:rsidRPr="008C6B3B">
              <w:t>3102</w:t>
            </w:r>
          </w:p>
        </w:tc>
        <w:tc>
          <w:tcPr>
            <w:tcW w:w="696" w:type="dxa"/>
            <w:noWrap/>
            <w:hideMark/>
          </w:tcPr>
          <w:p w:rsidR="008C6B3B" w:rsidRPr="008C6B3B" w:rsidRDefault="008C6B3B" w:rsidP="008C6B3B">
            <w:r w:rsidRPr="008C6B3B">
              <w:t>9238</w:t>
            </w:r>
          </w:p>
        </w:tc>
      </w:tr>
      <w:tr w:rsidR="008C6B3B" w:rsidRPr="008C6B3B" w:rsidTr="008C6B3B">
        <w:trPr>
          <w:trHeight w:val="300"/>
          <w:jc w:val="center"/>
        </w:trPr>
        <w:tc>
          <w:tcPr>
            <w:tcW w:w="1600" w:type="dxa"/>
            <w:noWrap/>
            <w:hideMark/>
          </w:tcPr>
          <w:p w:rsidR="008C6B3B" w:rsidRPr="008C6B3B" w:rsidRDefault="008C6B3B" w:rsidP="008C6B3B">
            <w:r w:rsidRPr="008C6B3B">
              <w:t>2322</w:t>
            </w:r>
          </w:p>
        </w:tc>
        <w:tc>
          <w:tcPr>
            <w:tcW w:w="1120" w:type="dxa"/>
            <w:noWrap/>
            <w:hideMark/>
          </w:tcPr>
          <w:p w:rsidR="008C6B3B" w:rsidRPr="008C6B3B" w:rsidRDefault="008C6B3B" w:rsidP="008C6B3B">
            <w:r w:rsidRPr="008C6B3B">
              <w:t>2409</w:t>
            </w:r>
          </w:p>
        </w:tc>
        <w:tc>
          <w:tcPr>
            <w:tcW w:w="696" w:type="dxa"/>
            <w:noWrap/>
            <w:hideMark/>
          </w:tcPr>
          <w:p w:rsidR="008C6B3B" w:rsidRPr="008C6B3B" w:rsidRDefault="008C6B3B" w:rsidP="008C6B3B">
            <w:r w:rsidRPr="008C6B3B">
              <w:t>3235</w:t>
            </w:r>
          </w:p>
        </w:tc>
      </w:tr>
      <w:tr w:rsidR="008C6B3B" w:rsidRPr="008C6B3B" w:rsidTr="008C6B3B">
        <w:trPr>
          <w:trHeight w:val="300"/>
          <w:jc w:val="center"/>
        </w:trPr>
        <w:tc>
          <w:tcPr>
            <w:tcW w:w="1600" w:type="dxa"/>
            <w:noWrap/>
            <w:hideMark/>
          </w:tcPr>
          <w:p w:rsidR="008C6B3B" w:rsidRPr="008C6B3B" w:rsidRDefault="008C6B3B" w:rsidP="008C6B3B">
            <w:r w:rsidRPr="008C6B3B">
              <w:t>2341</w:t>
            </w:r>
          </w:p>
        </w:tc>
        <w:tc>
          <w:tcPr>
            <w:tcW w:w="1120" w:type="dxa"/>
            <w:noWrap/>
            <w:hideMark/>
          </w:tcPr>
          <w:p w:rsidR="008C6B3B" w:rsidRPr="008C6B3B" w:rsidRDefault="008C6B3B" w:rsidP="008C6B3B">
            <w:r w:rsidRPr="008C6B3B">
              <w:t>2383</w:t>
            </w:r>
          </w:p>
        </w:tc>
        <w:tc>
          <w:tcPr>
            <w:tcW w:w="696" w:type="dxa"/>
            <w:noWrap/>
            <w:hideMark/>
          </w:tcPr>
          <w:p w:rsidR="008C6B3B" w:rsidRPr="008C6B3B" w:rsidRDefault="008C6B3B" w:rsidP="008C6B3B">
            <w:r w:rsidRPr="008C6B3B">
              <w:t>12536</w:t>
            </w:r>
          </w:p>
        </w:tc>
      </w:tr>
    </w:tbl>
    <w:p w:rsidR="004F687D" w:rsidRDefault="004F687D">
      <w:pPr>
        <w:spacing w:line="240" w:lineRule="auto"/>
      </w:pPr>
    </w:p>
    <w:p w:rsidR="004F687D" w:rsidRDefault="008C5F16" w:rsidP="001C6531">
      <w:pPr>
        <w:pStyle w:val="Heading2"/>
      </w:pPr>
      <w:r>
        <w:t xml:space="preserve">Step 4: Analysis and </w:t>
      </w:r>
      <w:proofErr w:type="spellStart"/>
      <w:r>
        <w:t>Writeup</w:t>
      </w:r>
      <w:proofErr w:type="spellEnd"/>
    </w:p>
    <w:p w:rsidR="004F687D" w:rsidRDefault="008C5F16">
      <w:pPr>
        <w:spacing w:line="240" w:lineRule="auto"/>
      </w:pPr>
      <w:r>
        <w:rPr>
          <w:i/>
        </w:rPr>
        <w:t>Answer these questions. Be sure to include visualizations from your analysis:</w:t>
      </w:r>
    </w:p>
    <w:p w:rsidR="004F687D" w:rsidRDefault="004F687D">
      <w:pPr>
        <w:spacing w:line="240" w:lineRule="auto"/>
      </w:pPr>
    </w:p>
    <w:p w:rsidR="004F687D" w:rsidRDefault="008C5F16">
      <w:pPr>
        <w:numPr>
          <w:ilvl w:val="0"/>
          <w:numId w:val="1"/>
        </w:numPr>
        <w:spacing w:line="240" w:lineRule="auto"/>
        <w:ind w:hanging="360"/>
      </w:pPr>
      <w:r>
        <w:t xml:space="preserve">What is your recommendation - Should the company roll out the updated menu to all stores? </w:t>
      </w:r>
    </w:p>
    <w:p w:rsidR="00C77AFD" w:rsidRDefault="00C77AFD" w:rsidP="00C77AFD">
      <w:pPr>
        <w:spacing w:line="240" w:lineRule="auto"/>
      </w:pPr>
    </w:p>
    <w:p w:rsidR="00C77AFD" w:rsidRDefault="00C77AFD" w:rsidP="00080630">
      <w:pPr>
        <w:spacing w:line="240" w:lineRule="auto"/>
      </w:pPr>
      <w:r>
        <w:t xml:space="preserve">I would recommend rolling up with the </w:t>
      </w:r>
      <w:r w:rsidR="00080630">
        <w:t xml:space="preserve">updated menu to all stores. The AB analysis tools predict increase </w:t>
      </w:r>
      <w:r w:rsidR="00080630" w:rsidRPr="00080630">
        <w:t xml:space="preserve">The average percentage change in </w:t>
      </w:r>
      <w:proofErr w:type="spellStart"/>
      <w:r w:rsidR="00080630" w:rsidRPr="00080630">
        <w:t>Sum_Gross</w:t>
      </w:r>
      <w:proofErr w:type="spellEnd"/>
      <w:r w:rsidR="00080630" w:rsidRPr="00080630">
        <w:t xml:space="preserve"> Margin was 39.5% for the treatment units in the test period relative to the comparison period.</w:t>
      </w:r>
      <w:r w:rsidR="00080630">
        <w:t xml:space="preserve"> </w:t>
      </w:r>
    </w:p>
    <w:p w:rsidR="008C6B3B" w:rsidRDefault="008C6B3B" w:rsidP="008C6B3B">
      <w:pPr>
        <w:spacing w:line="240" w:lineRule="auto"/>
      </w:pPr>
    </w:p>
    <w:p w:rsidR="00CE44B1" w:rsidRDefault="00CE44B1" w:rsidP="008C6B3B">
      <w:pPr>
        <w:spacing w:line="240" w:lineRule="auto"/>
      </w:pPr>
    </w:p>
    <w:p w:rsidR="00CE44B1" w:rsidRDefault="00CE44B1" w:rsidP="008C6B3B">
      <w:pPr>
        <w:spacing w:line="240" w:lineRule="auto"/>
      </w:pPr>
    </w:p>
    <w:p w:rsidR="00CE44B1" w:rsidRDefault="00CE44B1" w:rsidP="008C6B3B">
      <w:pPr>
        <w:spacing w:line="240" w:lineRule="auto"/>
      </w:pPr>
    </w:p>
    <w:p w:rsidR="00CE44B1" w:rsidRDefault="00CE44B1" w:rsidP="008C6B3B">
      <w:pPr>
        <w:spacing w:line="240" w:lineRule="auto"/>
      </w:pPr>
    </w:p>
    <w:p w:rsidR="00CE44B1" w:rsidRDefault="00CE44B1" w:rsidP="008C6B3B">
      <w:pPr>
        <w:spacing w:line="240" w:lineRule="auto"/>
      </w:pPr>
    </w:p>
    <w:p w:rsidR="004F687D" w:rsidRDefault="008C5F16">
      <w:pPr>
        <w:numPr>
          <w:ilvl w:val="0"/>
          <w:numId w:val="1"/>
        </w:numPr>
        <w:spacing w:line="240" w:lineRule="auto"/>
        <w:ind w:hanging="360"/>
      </w:pPr>
      <w:r>
        <w:lastRenderedPageBreak/>
        <w:t xml:space="preserve">What is the lift from the new menu for West and Central regions (include statistical significance)? </w:t>
      </w:r>
    </w:p>
    <w:p w:rsidR="00932F7F" w:rsidRDefault="00932F7F" w:rsidP="00080630"/>
    <w:p w:rsidR="00080630" w:rsidRDefault="00080630" w:rsidP="00080630">
      <w:pPr>
        <w:rPr>
          <w:b/>
        </w:rPr>
      </w:pPr>
      <w:r w:rsidRPr="00C77AFD">
        <w:rPr>
          <w:b/>
        </w:rPr>
        <w:t>West Region</w:t>
      </w:r>
    </w:p>
    <w:p w:rsidR="00080630" w:rsidRDefault="00080630" w:rsidP="00080630">
      <w:pPr>
        <w:rPr>
          <w:b/>
        </w:rPr>
      </w:pPr>
    </w:p>
    <w:p w:rsidR="00080630" w:rsidRDefault="00906137" w:rsidP="00080630">
      <w:r w:rsidRPr="00906137">
        <w:t xml:space="preserve">For the west region, we can observe a 37.9% improvement at 99.5% significance. The average lift we can see for each store </w:t>
      </w:r>
      <w:r w:rsidR="00C0667E">
        <w:t>is</w:t>
      </w:r>
      <w:r w:rsidRPr="00906137">
        <w:t xml:space="preserve"> 37.9% or approximately 526.5$ per store per week.</w:t>
      </w:r>
    </w:p>
    <w:p w:rsidR="00080630" w:rsidRDefault="00080630" w:rsidP="00080630">
      <w:r>
        <w:rPr>
          <w:noProof/>
          <w:lang w:val="pl-PL"/>
        </w:rPr>
        <w:drawing>
          <wp:inline distT="0" distB="0" distL="0" distR="0" wp14:anchorId="48AB518C" wp14:editId="6F6439AE">
            <wp:extent cx="59436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8420"/>
                    </a:xfrm>
                    <a:prstGeom prst="rect">
                      <a:avLst/>
                    </a:prstGeom>
                  </pic:spPr>
                </pic:pic>
              </a:graphicData>
            </a:graphic>
          </wp:inline>
        </w:drawing>
      </w:r>
    </w:p>
    <w:p w:rsidR="00080630" w:rsidRDefault="00932F7F" w:rsidP="00080630">
      <w:pPr>
        <w:spacing w:line="240" w:lineRule="auto"/>
        <w:rPr>
          <w:sz w:val="16"/>
          <w:szCs w:val="16"/>
        </w:rPr>
      </w:pPr>
      <w:r w:rsidRPr="009E1ABC">
        <w:rPr>
          <w:sz w:val="16"/>
          <w:szCs w:val="16"/>
        </w:rPr>
        <w:t xml:space="preserve">Figure </w:t>
      </w:r>
      <w:r>
        <w:rPr>
          <w:sz w:val="16"/>
          <w:szCs w:val="16"/>
        </w:rPr>
        <w:t>2</w:t>
      </w:r>
      <w:r w:rsidRPr="009E1ABC">
        <w:rPr>
          <w:sz w:val="16"/>
          <w:szCs w:val="16"/>
        </w:rPr>
        <w:t xml:space="preserve">. </w:t>
      </w:r>
      <w:r>
        <w:rPr>
          <w:sz w:val="16"/>
          <w:szCs w:val="16"/>
        </w:rPr>
        <w:t>AB Test Analysis for Sum</w:t>
      </w:r>
      <w:r w:rsidRPr="00932F7F">
        <w:rPr>
          <w:sz w:val="16"/>
          <w:szCs w:val="16"/>
        </w:rPr>
        <w:t xml:space="preserve"> Gross Margin</w:t>
      </w:r>
      <w:r>
        <w:rPr>
          <w:sz w:val="16"/>
          <w:szCs w:val="16"/>
        </w:rPr>
        <w:t xml:space="preserve"> for West Region</w:t>
      </w:r>
    </w:p>
    <w:p w:rsidR="00932F7F" w:rsidRDefault="00932F7F" w:rsidP="00080630">
      <w:pPr>
        <w:spacing w:line="240" w:lineRule="auto"/>
      </w:pPr>
    </w:p>
    <w:p w:rsidR="00906137" w:rsidRDefault="00906137" w:rsidP="00906137">
      <w:pPr>
        <w:rPr>
          <w:b/>
        </w:rPr>
      </w:pPr>
      <w:r w:rsidRPr="00C77AFD">
        <w:rPr>
          <w:b/>
        </w:rPr>
        <w:t>Central Region</w:t>
      </w:r>
    </w:p>
    <w:p w:rsidR="00906137" w:rsidRDefault="00906137" w:rsidP="00906137">
      <w:pPr>
        <w:rPr>
          <w:b/>
        </w:rPr>
      </w:pPr>
    </w:p>
    <w:p w:rsidR="00906137" w:rsidRDefault="00906137" w:rsidP="00906137">
      <w:r w:rsidRPr="00906137">
        <w:t xml:space="preserve">For the </w:t>
      </w:r>
      <w:r>
        <w:t>central</w:t>
      </w:r>
      <w:r w:rsidRPr="00906137">
        <w:t xml:space="preserve"> region, we can </w:t>
      </w:r>
      <w:r>
        <w:t>see</w:t>
      </w:r>
      <w:r w:rsidRPr="00906137">
        <w:t xml:space="preserve"> a </w:t>
      </w:r>
      <w:r>
        <w:t>43</w:t>
      </w:r>
      <w:r w:rsidRPr="00906137">
        <w:t>.</w:t>
      </w:r>
      <w:r>
        <w:t>5</w:t>
      </w:r>
      <w:r w:rsidRPr="00906137">
        <w:t>% improvement at 99.</w:t>
      </w:r>
      <w:r>
        <w:t>6</w:t>
      </w:r>
      <w:r w:rsidRPr="00906137">
        <w:t xml:space="preserve">% significance. The average lift we can </w:t>
      </w:r>
      <w:r w:rsidR="00C0667E">
        <w:t>observe</w:t>
      </w:r>
      <w:r w:rsidRPr="00906137">
        <w:t xml:space="preserve"> for each store </w:t>
      </w:r>
      <w:r w:rsidR="00C0667E">
        <w:t>is</w:t>
      </w:r>
      <w:r w:rsidRPr="00906137">
        <w:t xml:space="preserve"> </w:t>
      </w:r>
      <w:r>
        <w:t>43</w:t>
      </w:r>
      <w:r w:rsidRPr="00906137">
        <w:t>.</w:t>
      </w:r>
      <w:r>
        <w:t>5</w:t>
      </w:r>
      <w:r w:rsidRPr="00906137">
        <w:t xml:space="preserve">% or approximately </w:t>
      </w:r>
      <w:r>
        <w:t>835</w:t>
      </w:r>
      <w:r w:rsidRPr="00906137">
        <w:t>.</w:t>
      </w:r>
      <w:r>
        <w:t>9</w:t>
      </w:r>
      <w:r w:rsidRPr="00906137">
        <w:t>$ per store per week.</w:t>
      </w:r>
    </w:p>
    <w:p w:rsidR="00906137" w:rsidRDefault="00906137" w:rsidP="00906137"/>
    <w:p w:rsidR="00906137" w:rsidRDefault="00A0052F" w:rsidP="00906137">
      <w:r>
        <w:rPr>
          <w:noProof/>
          <w:lang w:val="pl-PL"/>
        </w:rPr>
        <w:drawing>
          <wp:inline distT="0" distB="0" distL="0" distR="0">
            <wp:extent cx="5937250" cy="25717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bookmarkStart w:id="1" w:name="_GoBack"/>
      <w:bookmarkEnd w:id="1"/>
    </w:p>
    <w:p w:rsidR="00932F7F" w:rsidRDefault="00932F7F" w:rsidP="00932F7F">
      <w:pPr>
        <w:spacing w:line="240" w:lineRule="auto"/>
        <w:rPr>
          <w:sz w:val="16"/>
          <w:szCs w:val="16"/>
        </w:rPr>
      </w:pPr>
      <w:r w:rsidRPr="009E1ABC">
        <w:rPr>
          <w:sz w:val="16"/>
          <w:szCs w:val="16"/>
        </w:rPr>
        <w:t xml:space="preserve">Figure </w:t>
      </w:r>
      <w:r>
        <w:rPr>
          <w:sz w:val="16"/>
          <w:szCs w:val="16"/>
        </w:rPr>
        <w:t>3</w:t>
      </w:r>
      <w:r w:rsidRPr="009E1ABC">
        <w:rPr>
          <w:sz w:val="16"/>
          <w:szCs w:val="16"/>
        </w:rPr>
        <w:t xml:space="preserve">. </w:t>
      </w:r>
      <w:r>
        <w:rPr>
          <w:sz w:val="16"/>
          <w:szCs w:val="16"/>
        </w:rPr>
        <w:t>AB Test Analysis for Sum</w:t>
      </w:r>
      <w:r w:rsidRPr="00932F7F">
        <w:rPr>
          <w:sz w:val="16"/>
          <w:szCs w:val="16"/>
        </w:rPr>
        <w:t xml:space="preserve"> Gross Margin</w:t>
      </w:r>
      <w:r>
        <w:rPr>
          <w:sz w:val="16"/>
          <w:szCs w:val="16"/>
        </w:rPr>
        <w:t xml:space="preserve"> for </w:t>
      </w:r>
      <w:r>
        <w:rPr>
          <w:sz w:val="16"/>
          <w:szCs w:val="16"/>
        </w:rPr>
        <w:t>Central Region</w:t>
      </w:r>
    </w:p>
    <w:p w:rsidR="00906137" w:rsidRDefault="00906137" w:rsidP="00080630">
      <w:pPr>
        <w:spacing w:line="240" w:lineRule="auto"/>
      </w:pPr>
    </w:p>
    <w:p w:rsidR="00080630" w:rsidRDefault="00080630" w:rsidP="00080630">
      <w:pPr>
        <w:spacing w:line="240" w:lineRule="auto"/>
      </w:pPr>
    </w:p>
    <w:p w:rsidR="004F687D" w:rsidRDefault="008C5F16">
      <w:pPr>
        <w:numPr>
          <w:ilvl w:val="0"/>
          <w:numId w:val="1"/>
        </w:numPr>
        <w:spacing w:line="240" w:lineRule="auto"/>
        <w:ind w:hanging="360"/>
      </w:pPr>
      <w:r>
        <w:lastRenderedPageBreak/>
        <w:t>What is the lift from the new menu overall?</w:t>
      </w:r>
    </w:p>
    <w:p w:rsidR="004F687D" w:rsidRDefault="004F687D"/>
    <w:p w:rsidR="00906137" w:rsidRPr="00C77AFD" w:rsidRDefault="00906137" w:rsidP="00906137">
      <w:pPr>
        <w:rPr>
          <w:b/>
        </w:rPr>
      </w:pPr>
      <w:proofErr w:type="spellStart"/>
      <w:r w:rsidRPr="00C77AFD">
        <w:rPr>
          <w:b/>
        </w:rPr>
        <w:t>Overal</w:t>
      </w:r>
      <w:proofErr w:type="spellEnd"/>
      <w:r w:rsidRPr="00C77AFD">
        <w:rPr>
          <w:b/>
        </w:rPr>
        <w:t>:</w:t>
      </w:r>
    </w:p>
    <w:p w:rsidR="00C77AFD" w:rsidRDefault="00C77AFD"/>
    <w:p w:rsidR="00C77AFD" w:rsidRDefault="00906137">
      <w:r w:rsidRPr="00906137">
        <w:t>For the new menu, we can see a 4</w:t>
      </w:r>
      <w:r w:rsidR="00C0667E">
        <w:t>0</w:t>
      </w:r>
      <w:r w:rsidRPr="00906137">
        <w:t>.</w:t>
      </w:r>
      <w:r w:rsidR="00C0667E">
        <w:t>7</w:t>
      </w:r>
      <w:r w:rsidRPr="00906137">
        <w:t xml:space="preserve">% improvement at 99.6% significance. The average lift we can observe for each store </w:t>
      </w:r>
      <w:r w:rsidR="00C0667E">
        <w:t>is</w:t>
      </w:r>
      <w:r w:rsidRPr="00906137">
        <w:t xml:space="preserve"> </w:t>
      </w:r>
      <w:r w:rsidR="00C0667E" w:rsidRPr="00906137">
        <w:t>4</w:t>
      </w:r>
      <w:r w:rsidR="00C0667E">
        <w:t>0</w:t>
      </w:r>
      <w:r w:rsidR="00C0667E" w:rsidRPr="00906137">
        <w:t>.</w:t>
      </w:r>
      <w:r w:rsidR="00C0667E">
        <w:t>7</w:t>
      </w:r>
      <w:r w:rsidRPr="00906137">
        <w:t xml:space="preserve">% or approximately </w:t>
      </w:r>
      <w:r w:rsidR="00C0667E">
        <w:t>681</w:t>
      </w:r>
      <w:r w:rsidRPr="00906137">
        <w:t>.</w:t>
      </w:r>
      <w:r w:rsidR="00C0667E">
        <w:t>2</w:t>
      </w:r>
      <w:r w:rsidRPr="00906137">
        <w:t>$ per store per week.</w:t>
      </w:r>
    </w:p>
    <w:p w:rsidR="00C77AFD" w:rsidRDefault="00C77AFD"/>
    <w:p w:rsidR="00C77AFD" w:rsidRDefault="00CE44B1">
      <w:r>
        <w:rPr>
          <w:noProof/>
          <w:lang w:val="pl-PL"/>
        </w:rPr>
        <w:drawing>
          <wp:inline distT="0" distB="0" distL="0" distR="0">
            <wp:extent cx="5943600" cy="2559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rsidR="00CE44B1" w:rsidRDefault="00CE44B1" w:rsidP="00CE44B1">
      <w:pPr>
        <w:spacing w:line="240" w:lineRule="auto"/>
        <w:rPr>
          <w:sz w:val="16"/>
          <w:szCs w:val="16"/>
        </w:rPr>
      </w:pPr>
      <w:r w:rsidRPr="009E1ABC">
        <w:rPr>
          <w:sz w:val="16"/>
          <w:szCs w:val="16"/>
        </w:rPr>
        <w:t xml:space="preserve">Figure </w:t>
      </w:r>
      <w:r>
        <w:rPr>
          <w:sz w:val="16"/>
          <w:szCs w:val="16"/>
        </w:rPr>
        <w:t>4</w:t>
      </w:r>
      <w:r w:rsidRPr="009E1ABC">
        <w:rPr>
          <w:sz w:val="16"/>
          <w:szCs w:val="16"/>
        </w:rPr>
        <w:t xml:space="preserve">. </w:t>
      </w:r>
      <w:r>
        <w:rPr>
          <w:sz w:val="16"/>
          <w:szCs w:val="16"/>
        </w:rPr>
        <w:t>AB Test Analysis for Sum</w:t>
      </w:r>
      <w:r w:rsidRPr="00932F7F">
        <w:rPr>
          <w:sz w:val="16"/>
          <w:szCs w:val="16"/>
        </w:rPr>
        <w:t xml:space="preserve"> Gross Margin</w:t>
      </w:r>
      <w:r>
        <w:rPr>
          <w:sz w:val="16"/>
          <w:szCs w:val="16"/>
        </w:rPr>
        <w:t xml:space="preserve"> </w:t>
      </w:r>
      <w:r>
        <w:rPr>
          <w:sz w:val="16"/>
          <w:szCs w:val="16"/>
        </w:rPr>
        <w:t xml:space="preserve">- </w:t>
      </w:r>
      <w:proofErr w:type="spellStart"/>
      <w:r>
        <w:rPr>
          <w:sz w:val="16"/>
          <w:szCs w:val="16"/>
        </w:rPr>
        <w:t>Overal</w:t>
      </w:r>
      <w:proofErr w:type="spellEnd"/>
    </w:p>
    <w:p w:rsidR="00CE44B1" w:rsidRDefault="00CE44B1"/>
    <w:p w:rsidR="00CE44B1" w:rsidRDefault="00CE44B1" w:rsidP="008D6D5D">
      <w:pPr>
        <w:pStyle w:val="Heading1"/>
        <w:shd w:val="clear" w:color="auto" w:fill="FFFFFF"/>
        <w:spacing w:before="129" w:after="0"/>
        <w:rPr>
          <w:rFonts w:ascii="Helvetica" w:hAnsi="Helvetica" w:cs="Helvetica"/>
          <w:sz w:val="39"/>
          <w:szCs w:val="39"/>
        </w:rPr>
      </w:pPr>
      <w:bookmarkStart w:id="2" w:name="_1fob9te" w:colFirst="0" w:colLast="0"/>
      <w:bookmarkEnd w:id="2"/>
    </w:p>
    <w:p w:rsidR="00CE44B1" w:rsidRDefault="00CE44B1" w:rsidP="008D6D5D">
      <w:pPr>
        <w:pStyle w:val="Heading1"/>
        <w:shd w:val="clear" w:color="auto" w:fill="FFFFFF"/>
        <w:spacing w:before="129" w:after="0"/>
        <w:rPr>
          <w:rFonts w:ascii="Helvetica" w:hAnsi="Helvetica" w:cs="Helvetica"/>
          <w:sz w:val="39"/>
          <w:szCs w:val="39"/>
        </w:rPr>
      </w:pPr>
    </w:p>
    <w:p w:rsidR="00CE44B1" w:rsidRDefault="00CE44B1" w:rsidP="008D6D5D">
      <w:pPr>
        <w:pStyle w:val="Heading1"/>
        <w:shd w:val="clear" w:color="auto" w:fill="FFFFFF"/>
        <w:spacing w:before="129" w:after="0"/>
        <w:rPr>
          <w:rFonts w:ascii="Helvetica" w:hAnsi="Helvetica" w:cs="Helvetica"/>
          <w:sz w:val="39"/>
          <w:szCs w:val="39"/>
        </w:rPr>
      </w:pPr>
    </w:p>
    <w:p w:rsidR="008D6D5D" w:rsidRDefault="008D6D5D" w:rsidP="008D6D5D">
      <w:pPr>
        <w:pStyle w:val="Heading1"/>
        <w:shd w:val="clear" w:color="auto" w:fill="FFFFFF"/>
        <w:spacing w:before="129" w:after="0"/>
        <w:rPr>
          <w:rFonts w:ascii="Helvetica" w:hAnsi="Helvetica" w:cs="Helvetica"/>
          <w:sz w:val="39"/>
          <w:szCs w:val="39"/>
        </w:rPr>
      </w:pPr>
      <w:proofErr w:type="spellStart"/>
      <w:r>
        <w:rPr>
          <w:rFonts w:ascii="Helvetica" w:hAnsi="Helvetica" w:cs="Helvetica"/>
          <w:sz w:val="39"/>
          <w:szCs w:val="39"/>
        </w:rPr>
        <w:t>Alteryx</w:t>
      </w:r>
      <w:proofErr w:type="spellEnd"/>
      <w:r>
        <w:rPr>
          <w:rFonts w:ascii="Helvetica" w:hAnsi="Helvetica" w:cs="Helvetica"/>
          <w:sz w:val="39"/>
          <w:szCs w:val="39"/>
        </w:rPr>
        <w:t xml:space="preserve"> Workflows</w:t>
      </w:r>
    </w:p>
    <w:p w:rsidR="008D6D5D" w:rsidRDefault="008D6D5D"/>
    <w:p w:rsidR="008D6D5D" w:rsidRDefault="001C6531">
      <w:r>
        <w:rPr>
          <w:noProof/>
          <w:lang w:val="pl-PL"/>
        </w:rPr>
        <w:drawing>
          <wp:inline distT="0" distB="0" distL="0" distR="0">
            <wp:extent cx="5937250" cy="1809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809750"/>
                    </a:xfrm>
                    <a:prstGeom prst="rect">
                      <a:avLst/>
                    </a:prstGeom>
                    <a:noFill/>
                    <a:ln>
                      <a:noFill/>
                    </a:ln>
                  </pic:spPr>
                </pic:pic>
              </a:graphicData>
            </a:graphic>
          </wp:inline>
        </w:drawing>
      </w:r>
    </w:p>
    <w:p w:rsidR="008D6D5D" w:rsidRDefault="008D6D5D" w:rsidP="008D6D5D">
      <w:pPr>
        <w:spacing w:line="240" w:lineRule="auto"/>
        <w:rPr>
          <w:sz w:val="16"/>
          <w:szCs w:val="16"/>
        </w:rPr>
      </w:pPr>
      <w:r>
        <w:rPr>
          <w:sz w:val="16"/>
          <w:szCs w:val="16"/>
        </w:rPr>
        <w:t xml:space="preserve">Workflow </w:t>
      </w:r>
      <w:r w:rsidR="001C6531">
        <w:rPr>
          <w:sz w:val="16"/>
          <w:szCs w:val="16"/>
        </w:rPr>
        <w:t>1</w:t>
      </w:r>
      <w:r>
        <w:rPr>
          <w:sz w:val="16"/>
          <w:szCs w:val="16"/>
        </w:rPr>
        <w:t xml:space="preserve">. </w:t>
      </w:r>
      <w:r w:rsidR="001C6531">
        <w:rPr>
          <w:sz w:val="16"/>
          <w:szCs w:val="16"/>
        </w:rPr>
        <w:t>Data Preparation</w:t>
      </w:r>
    </w:p>
    <w:p w:rsidR="001C6531" w:rsidRDefault="00932F7F" w:rsidP="001C6531">
      <w:r>
        <w:rPr>
          <w:noProof/>
          <w:lang w:val="pl-PL"/>
        </w:rPr>
        <w:lastRenderedPageBreak/>
        <w:drawing>
          <wp:inline distT="0" distB="0" distL="0" distR="0">
            <wp:extent cx="5340350" cy="2101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085" cy="2104127"/>
                    </a:xfrm>
                    <a:prstGeom prst="rect">
                      <a:avLst/>
                    </a:prstGeom>
                    <a:noFill/>
                    <a:ln>
                      <a:noFill/>
                    </a:ln>
                  </pic:spPr>
                </pic:pic>
              </a:graphicData>
            </a:graphic>
          </wp:inline>
        </w:drawing>
      </w:r>
    </w:p>
    <w:p w:rsidR="001C6531" w:rsidRDefault="001C6531" w:rsidP="001C6531">
      <w:pPr>
        <w:spacing w:line="240" w:lineRule="auto"/>
        <w:rPr>
          <w:sz w:val="16"/>
          <w:szCs w:val="16"/>
        </w:rPr>
      </w:pPr>
      <w:r>
        <w:rPr>
          <w:sz w:val="16"/>
          <w:szCs w:val="16"/>
        </w:rPr>
        <w:t>Workflow 2.</w:t>
      </w:r>
      <w:r w:rsidRPr="008D6D5D">
        <w:rPr>
          <w:sz w:val="16"/>
          <w:szCs w:val="16"/>
        </w:rPr>
        <w:t xml:space="preserve"> Pearson Correlation Analysis</w:t>
      </w:r>
    </w:p>
    <w:p w:rsidR="008D6D5D" w:rsidRDefault="001C6531">
      <w:r>
        <w:rPr>
          <w:noProof/>
          <w:lang w:val="pl-PL"/>
        </w:rPr>
        <w:drawing>
          <wp:inline distT="0" distB="0" distL="0" distR="0">
            <wp:extent cx="5937250" cy="19685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968500"/>
                    </a:xfrm>
                    <a:prstGeom prst="rect">
                      <a:avLst/>
                    </a:prstGeom>
                    <a:noFill/>
                    <a:ln>
                      <a:noFill/>
                    </a:ln>
                  </pic:spPr>
                </pic:pic>
              </a:graphicData>
            </a:graphic>
          </wp:inline>
        </w:drawing>
      </w:r>
    </w:p>
    <w:p w:rsidR="001C6531" w:rsidRDefault="001C6531" w:rsidP="001C6531">
      <w:pPr>
        <w:spacing w:line="240" w:lineRule="auto"/>
        <w:rPr>
          <w:sz w:val="16"/>
          <w:szCs w:val="16"/>
        </w:rPr>
      </w:pPr>
      <w:r>
        <w:rPr>
          <w:sz w:val="16"/>
          <w:szCs w:val="16"/>
        </w:rPr>
        <w:t xml:space="preserve">Workflow </w:t>
      </w:r>
      <w:r>
        <w:rPr>
          <w:sz w:val="16"/>
          <w:szCs w:val="16"/>
        </w:rPr>
        <w:t>3</w:t>
      </w:r>
      <w:r>
        <w:rPr>
          <w:sz w:val="16"/>
          <w:szCs w:val="16"/>
        </w:rPr>
        <w:t>.</w:t>
      </w:r>
      <w:r w:rsidRPr="008D6D5D">
        <w:rPr>
          <w:sz w:val="16"/>
          <w:szCs w:val="16"/>
        </w:rPr>
        <w:t xml:space="preserve"> </w:t>
      </w:r>
      <w:r>
        <w:rPr>
          <w:sz w:val="16"/>
          <w:szCs w:val="16"/>
        </w:rPr>
        <w:t>Creating Control and Treatment Groups</w:t>
      </w:r>
    </w:p>
    <w:p w:rsidR="001C6531" w:rsidRDefault="00932F7F">
      <w:r>
        <w:rPr>
          <w:noProof/>
          <w:lang w:val="pl-PL"/>
        </w:rPr>
        <w:drawing>
          <wp:inline distT="0" distB="0" distL="0" distR="0">
            <wp:extent cx="4908550" cy="3434937"/>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9945" cy="3435913"/>
                    </a:xfrm>
                    <a:prstGeom prst="rect">
                      <a:avLst/>
                    </a:prstGeom>
                    <a:noFill/>
                    <a:ln>
                      <a:noFill/>
                    </a:ln>
                  </pic:spPr>
                </pic:pic>
              </a:graphicData>
            </a:graphic>
          </wp:inline>
        </w:drawing>
      </w:r>
    </w:p>
    <w:p w:rsidR="00932F7F" w:rsidRPr="00CE44B1" w:rsidRDefault="00932F7F" w:rsidP="00CE44B1">
      <w:pPr>
        <w:spacing w:line="240" w:lineRule="auto"/>
        <w:rPr>
          <w:sz w:val="16"/>
          <w:szCs w:val="16"/>
        </w:rPr>
      </w:pPr>
      <w:r>
        <w:rPr>
          <w:sz w:val="16"/>
          <w:szCs w:val="16"/>
        </w:rPr>
        <w:t xml:space="preserve">Workflow </w:t>
      </w:r>
      <w:r>
        <w:rPr>
          <w:sz w:val="16"/>
          <w:szCs w:val="16"/>
        </w:rPr>
        <w:t>4</w:t>
      </w:r>
      <w:r>
        <w:rPr>
          <w:sz w:val="16"/>
          <w:szCs w:val="16"/>
        </w:rPr>
        <w:t>.</w:t>
      </w:r>
      <w:r w:rsidRPr="008D6D5D">
        <w:rPr>
          <w:sz w:val="16"/>
          <w:szCs w:val="16"/>
        </w:rPr>
        <w:t xml:space="preserve"> </w:t>
      </w:r>
      <w:r>
        <w:rPr>
          <w:sz w:val="16"/>
          <w:szCs w:val="16"/>
        </w:rPr>
        <w:t>AB Analysis</w:t>
      </w:r>
    </w:p>
    <w:sectPr w:rsidR="00932F7F" w:rsidRPr="00CE44B1">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87DA0"/>
    <w:multiLevelType w:val="multilevel"/>
    <w:tmpl w:val="8612DA5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3F9A3840"/>
    <w:multiLevelType w:val="multilevel"/>
    <w:tmpl w:val="772074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087420C"/>
    <w:multiLevelType w:val="multilevel"/>
    <w:tmpl w:val="06EAC2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87D"/>
    <w:rsid w:val="0000193F"/>
    <w:rsid w:val="00033EC5"/>
    <w:rsid w:val="00080630"/>
    <w:rsid w:val="000E25FF"/>
    <w:rsid w:val="00104C15"/>
    <w:rsid w:val="001C6531"/>
    <w:rsid w:val="002418EF"/>
    <w:rsid w:val="004918F1"/>
    <w:rsid w:val="004F687D"/>
    <w:rsid w:val="008534A0"/>
    <w:rsid w:val="008C5F16"/>
    <w:rsid w:val="008C6B3B"/>
    <w:rsid w:val="008D6D5D"/>
    <w:rsid w:val="00906137"/>
    <w:rsid w:val="00932F7F"/>
    <w:rsid w:val="00A0052F"/>
    <w:rsid w:val="00A41FD3"/>
    <w:rsid w:val="00C0667E"/>
    <w:rsid w:val="00C77AFD"/>
    <w:rsid w:val="00CE44B1"/>
    <w:rsid w:val="00DA60D8"/>
    <w:rsid w:val="00E81A4C"/>
    <w:rsid w:val="00F97858"/>
    <w:rsid w:val="00FC22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24CE"/>
  <w15:docId w15:val="{9E6CAFD1-C4E8-4156-A0C1-37F137CF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pl-PL"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DA60D8"/>
    <w:pPr>
      <w:ind w:left="720"/>
      <w:contextualSpacing/>
    </w:pPr>
  </w:style>
  <w:style w:type="table" w:styleId="TableGrid">
    <w:name w:val="Table Grid"/>
    <w:basedOn w:val="TableNormal"/>
    <w:uiPriority w:val="39"/>
    <w:rsid w:val="008C6B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88173">
      <w:bodyDiv w:val="1"/>
      <w:marLeft w:val="0"/>
      <w:marRight w:val="0"/>
      <w:marTop w:val="0"/>
      <w:marBottom w:val="0"/>
      <w:divBdr>
        <w:top w:val="none" w:sz="0" w:space="0" w:color="auto"/>
        <w:left w:val="none" w:sz="0" w:space="0" w:color="auto"/>
        <w:bottom w:val="none" w:sz="0" w:space="0" w:color="auto"/>
        <w:right w:val="none" w:sz="0" w:space="0" w:color="auto"/>
      </w:divBdr>
    </w:div>
    <w:div w:id="266012690">
      <w:bodyDiv w:val="1"/>
      <w:marLeft w:val="0"/>
      <w:marRight w:val="0"/>
      <w:marTop w:val="0"/>
      <w:marBottom w:val="0"/>
      <w:divBdr>
        <w:top w:val="none" w:sz="0" w:space="0" w:color="auto"/>
        <w:left w:val="none" w:sz="0" w:space="0" w:color="auto"/>
        <w:bottom w:val="none" w:sz="0" w:space="0" w:color="auto"/>
        <w:right w:val="none" w:sz="0" w:space="0" w:color="auto"/>
      </w:divBdr>
    </w:div>
    <w:div w:id="895311123">
      <w:bodyDiv w:val="1"/>
      <w:marLeft w:val="0"/>
      <w:marRight w:val="0"/>
      <w:marTop w:val="0"/>
      <w:marBottom w:val="0"/>
      <w:divBdr>
        <w:top w:val="none" w:sz="0" w:space="0" w:color="auto"/>
        <w:left w:val="none" w:sz="0" w:space="0" w:color="auto"/>
        <w:bottom w:val="none" w:sz="0" w:space="0" w:color="auto"/>
        <w:right w:val="none" w:sz="0" w:space="0" w:color="auto"/>
      </w:divBdr>
    </w:div>
    <w:div w:id="1018235184">
      <w:bodyDiv w:val="1"/>
      <w:marLeft w:val="0"/>
      <w:marRight w:val="0"/>
      <w:marTop w:val="0"/>
      <w:marBottom w:val="0"/>
      <w:divBdr>
        <w:top w:val="none" w:sz="0" w:space="0" w:color="auto"/>
        <w:left w:val="none" w:sz="0" w:space="0" w:color="auto"/>
        <w:bottom w:val="none" w:sz="0" w:space="0" w:color="auto"/>
        <w:right w:val="none" w:sz="0" w:space="0" w:color="auto"/>
      </w:divBdr>
    </w:div>
    <w:div w:id="1654750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549</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Kos</dc:creator>
  <cp:lastModifiedBy>Emil Kos</cp:lastModifiedBy>
  <cp:revision>3</cp:revision>
  <cp:lastPrinted>2020-04-20T21:57:00Z</cp:lastPrinted>
  <dcterms:created xsi:type="dcterms:W3CDTF">2020-04-20T21:57:00Z</dcterms:created>
  <dcterms:modified xsi:type="dcterms:W3CDTF">2020-04-20T22:00:00Z</dcterms:modified>
</cp:coreProperties>
</file>