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43CA" w14:textId="77777777" w:rsidR="005D18FD" w:rsidRDefault="005D18FD" w:rsidP="005D18FD">
      <w:pPr>
        <w:pStyle w:val="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B4B2C5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77777777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3"/>
      </w:pPr>
      <w:r>
        <w:t>Output</w:t>
      </w:r>
    </w:p>
    <w:p w14:paraId="0E97D276" w14:textId="19F49B13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</w:t>
            </w:r>
            <w:r w:rsidRPr="004B15C3">
              <w:rPr>
                <w:rStyle w:val="ab"/>
                <w:rFonts w:ascii="Consolas" w:hAnsi="Consolas"/>
                <w:b w:val="0"/>
              </w:rPr>
              <w:t>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3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4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ab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af1"/>
              <w:rPr>
                <w:rStyle w:val="ab"/>
                <w:rFonts w:ascii="Consolas" w:hAnsi="Consolas"/>
                <w:lang w:val="en-US"/>
              </w:rPr>
            </w:pPr>
            <w:r>
              <w:rPr>
                <w:rStyle w:val="ab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EDF8" w14:textId="77777777" w:rsidR="00062054" w:rsidRDefault="00062054" w:rsidP="008068A2">
      <w:pPr>
        <w:spacing w:after="0" w:line="240" w:lineRule="auto"/>
      </w:pPr>
      <w:r>
        <w:separator/>
      </w:r>
    </w:p>
  </w:endnote>
  <w:endnote w:type="continuationSeparator" w:id="0">
    <w:p w14:paraId="2EFDF3CD" w14:textId="77777777" w:rsidR="00062054" w:rsidRDefault="000620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400A" w14:textId="77777777" w:rsidR="00062054" w:rsidRDefault="00062054" w:rsidP="008068A2">
      <w:pPr>
        <w:spacing w:after="0" w:line="240" w:lineRule="auto"/>
      </w:pPr>
      <w:r>
        <w:separator/>
      </w:r>
    </w:p>
  </w:footnote>
  <w:footnote w:type="continuationSeparator" w:id="0">
    <w:p w14:paraId="1DC402FF" w14:textId="77777777" w:rsidR="00062054" w:rsidRDefault="000620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2054"/>
    <w:rsid w:val="00064D15"/>
    <w:rsid w:val="00082B70"/>
    <w:rsid w:val="0008559D"/>
    <w:rsid w:val="00086727"/>
    <w:rsid w:val="0009209B"/>
    <w:rsid w:val="00096328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378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E45E-DC5F-4CF4-9F5B-F740F077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2022-01-16T19:23:00Z</dcterms:created>
  <dcterms:modified xsi:type="dcterms:W3CDTF">2022-01-16T19:23:00Z</dcterms:modified>
  <cp:category>programming, education, software engineering, software development</cp:category>
</cp:coreProperties>
</file>