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557F" w:rsidRDefault="00EC557F">
      <w:pPr>
        <w:autoSpaceDE w:val="0"/>
        <w:autoSpaceDN w:val="0"/>
        <w:spacing w:after="486" w:line="220" w:lineRule="exact"/>
      </w:pPr>
    </w:p>
    <w:p w:rsidR="00EC557F" w:rsidRDefault="00422FC7">
      <w:pPr>
        <w:autoSpaceDE w:val="0"/>
        <w:autoSpaceDN w:val="0"/>
        <w:spacing w:before="58" w:after="0" w:line="274" w:lineRule="exact"/>
        <w:ind w:left="1584" w:right="1584"/>
        <w:jc w:val="center"/>
      </w:pPr>
      <w:r>
        <w:rPr>
          <w:rFonts w:ascii="Georgia" w:eastAsia="Georgia" w:hAnsi="Georgia"/>
          <w:b/>
          <w:color w:val="000000"/>
          <w:sz w:val="24"/>
        </w:rPr>
        <w:t xml:space="preserve">FINDINGS AND RECOMMENDATIONS </w:t>
      </w:r>
      <w:r>
        <w:br/>
      </w:r>
      <w:r>
        <w:rPr>
          <w:rFonts w:ascii="Georgia" w:eastAsia="Georgia" w:hAnsi="Georgia"/>
          <w:b/>
          <w:color w:val="000000"/>
          <w:sz w:val="24"/>
        </w:rPr>
        <w:t xml:space="preserve">ACQUISITION WORKFORCE WORKING GROUP </w:t>
      </w:r>
    </w:p>
    <w:p w:rsidR="00EC557F" w:rsidRDefault="00422FC7">
      <w:pPr>
        <w:autoSpaceDE w:val="0"/>
        <w:autoSpaceDN w:val="0"/>
        <w:spacing w:before="212" w:after="0" w:line="334" w:lineRule="exact"/>
        <w:jc w:val="center"/>
      </w:pPr>
      <w:r>
        <w:rPr>
          <w:rFonts w:ascii="Georgia" w:eastAsia="Georgia" w:hAnsi="Georgia"/>
          <w:b/>
          <w:color w:val="000000"/>
          <w:sz w:val="24"/>
        </w:rPr>
        <w:t xml:space="preserve">[As revised and provisionally adopted by the Acquisition Advisory Panel] </w:t>
      </w:r>
    </w:p>
    <w:p w:rsidR="00EC557F" w:rsidRDefault="00422FC7">
      <w:pPr>
        <w:autoSpaceDE w:val="0"/>
        <w:autoSpaceDN w:val="0"/>
        <w:spacing w:before="234" w:after="0" w:line="312" w:lineRule="exact"/>
      </w:pPr>
      <w:r>
        <w:rPr>
          <w:rFonts w:ascii="TimesNewRomanPS" w:eastAsia="TimesNewRomanPS" w:hAnsi="TimesNewRomanPS"/>
          <w:b/>
          <w:i/>
          <w:color w:val="000000"/>
          <w:sz w:val="24"/>
          <w:u w:val="single"/>
        </w:rPr>
        <w:t>FINDINGS</w:t>
      </w:r>
      <w:r>
        <w:rPr>
          <w:rFonts w:ascii="TimesNewRomanPS" w:eastAsia="TimesNewRomanPS" w:hAnsi="TimesNewRomanPS"/>
          <w:b/>
          <w:i/>
          <w:color w:val="000000"/>
          <w:sz w:val="24"/>
        </w:rPr>
        <w:t xml:space="preserve"> </w:t>
      </w:r>
    </w:p>
    <w:p w:rsidR="00EC557F" w:rsidRDefault="00422FC7">
      <w:pPr>
        <w:autoSpaceDE w:val="0"/>
        <w:autoSpaceDN w:val="0"/>
        <w:spacing w:before="224" w:after="0" w:line="332" w:lineRule="exact"/>
      </w:pPr>
      <w:r>
        <w:rPr>
          <w:rFonts w:ascii="TimesNewRomanPS" w:eastAsia="TimesNewRomanPS" w:hAnsi="TimesNewRomanPS"/>
          <w:b/>
          <w:color w:val="000000"/>
          <w:sz w:val="24"/>
        </w:rPr>
        <w:t xml:space="preserve">Finding #1: </w:t>
      </w:r>
    </w:p>
    <w:p w:rsidR="00EC557F" w:rsidRDefault="00422FC7">
      <w:pPr>
        <w:autoSpaceDE w:val="0"/>
        <w:autoSpaceDN w:val="0"/>
        <w:spacing w:before="260" w:after="0" w:line="276" w:lineRule="exact"/>
        <w:ind w:right="144"/>
      </w:pPr>
      <w:r>
        <w:rPr>
          <w:rFonts w:ascii="TimesNewRomanPSMT" w:eastAsia="TimesNewRomanPSMT" w:hAnsi="TimesNewRomanPSMT"/>
          <w:color w:val="000000"/>
          <w:sz w:val="24"/>
        </w:rPr>
        <w:t xml:space="preserve">The federal acquisition workforce is an essential key to success in achieving the government’s missions.  Procurement is an increasingly central part of the government’s activities.  Without a workforce that is qualitatively and quantitatively adequate and adapted to its mission the procurement reforms of the last decade cannot achieve their potential, and successful federal procurement cannot be achieved. </w:t>
      </w:r>
    </w:p>
    <w:p w:rsidR="00EC557F" w:rsidRDefault="00422FC7">
      <w:pPr>
        <w:autoSpaceDE w:val="0"/>
        <w:autoSpaceDN w:val="0"/>
        <w:spacing w:before="236" w:after="0" w:line="332" w:lineRule="exact"/>
      </w:pPr>
      <w:r>
        <w:rPr>
          <w:rFonts w:ascii="TimesNewRomanPS" w:eastAsia="TimesNewRomanPS" w:hAnsi="TimesNewRomanPS"/>
          <w:b/>
          <w:color w:val="000000"/>
          <w:sz w:val="24"/>
        </w:rPr>
        <w:t xml:space="preserve">Finding #2: </w:t>
      </w:r>
    </w:p>
    <w:p w:rsidR="00EC557F" w:rsidRDefault="00422FC7">
      <w:pPr>
        <w:tabs>
          <w:tab w:val="left" w:pos="720"/>
        </w:tabs>
        <w:autoSpaceDE w:val="0"/>
        <w:autoSpaceDN w:val="0"/>
        <w:spacing w:before="214" w:after="0" w:line="322" w:lineRule="exact"/>
        <w:ind w:left="360"/>
      </w:pP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Demands on the federal acquisition workforce have grown substantially: </w:t>
      </w:r>
    </w:p>
    <w:p w:rsidR="00EC557F" w:rsidRDefault="00422FC7">
      <w:pPr>
        <w:autoSpaceDE w:val="0"/>
        <w:autoSpaceDN w:val="0"/>
        <w:spacing w:before="236" w:after="154" w:line="332" w:lineRule="exact"/>
        <w:ind w:left="1440"/>
      </w:pPr>
      <w:r>
        <w:rPr>
          <w:rFonts w:ascii="TimesNewRomanPS" w:eastAsia="TimesNewRomanPS" w:hAnsi="TimesNewRomanPS"/>
          <w:b/>
          <w:color w:val="000000"/>
          <w:sz w:val="24"/>
        </w:rPr>
        <w:t xml:space="preserve">Finding #2-1: </w:t>
      </w:r>
    </w:p>
    <w:tbl>
      <w:tblPr>
        <w:tblW w:w="0" w:type="auto"/>
        <w:tblInd w:w="720" w:type="dxa"/>
        <w:tblLayout w:type="fixed"/>
        <w:tblLook w:val="04A0" w:firstRow="1" w:lastRow="0" w:firstColumn="1" w:lastColumn="0" w:noHBand="0" w:noVBand="1"/>
      </w:tblPr>
      <w:tblGrid>
        <w:gridCol w:w="940"/>
        <w:gridCol w:w="7660"/>
      </w:tblGrid>
      <w:tr w:rsidR="00EC557F">
        <w:trPr>
          <w:trHeight w:hRule="exact" w:val="994"/>
        </w:trPr>
        <w:tc>
          <w:tcPr>
            <w:tcW w:w="940" w:type="dxa"/>
            <w:tcMar>
              <w:left w:w="0" w:type="dxa"/>
              <w:right w:w="0" w:type="dxa"/>
            </w:tcMar>
          </w:tcPr>
          <w:p w:rsidR="00EC557F" w:rsidRDefault="00422FC7">
            <w:pPr>
              <w:autoSpaceDE w:val="0"/>
              <w:autoSpaceDN w:val="0"/>
              <w:spacing w:before="60" w:after="0" w:line="322" w:lineRule="exact"/>
              <w:ind w:right="136"/>
              <w:jc w:val="right"/>
            </w:pPr>
            <w:r>
              <w:rPr>
                <w:rFonts w:ascii="TimesNewRomanPSMT" w:eastAsia="TimesNewRomanPSMT" w:hAnsi="TimesNewRomanPSMT"/>
                <w:color w:val="000000"/>
                <w:sz w:val="24"/>
              </w:rPr>
              <w:t>•</w:t>
            </w:r>
          </w:p>
        </w:tc>
        <w:tc>
          <w:tcPr>
            <w:tcW w:w="7660" w:type="dxa"/>
            <w:tcMar>
              <w:left w:w="0" w:type="dxa"/>
              <w:right w:w="0" w:type="dxa"/>
            </w:tcMar>
          </w:tcPr>
          <w:p w:rsidR="00EC557F" w:rsidRDefault="00422FC7">
            <w:pPr>
              <w:autoSpaceDE w:val="0"/>
              <w:autoSpaceDN w:val="0"/>
              <w:spacing w:before="106" w:after="0" w:line="276" w:lineRule="exact"/>
              <w:ind w:left="140"/>
            </w:pPr>
            <w:r>
              <w:rPr>
                <w:rFonts w:ascii="TimesNewRomanPSMT" w:eastAsia="TimesNewRomanPSMT" w:hAnsi="TimesNewRomanPSMT"/>
                <w:color w:val="000000"/>
                <w:sz w:val="24"/>
              </w:rPr>
              <w:t xml:space="preserve">The dollar volume of federal government procurement has increased </w:t>
            </w:r>
            <w:r>
              <w:br/>
            </w:r>
            <w:r>
              <w:rPr>
                <w:rFonts w:ascii="TimesNewRomanPSMT" w:eastAsia="TimesNewRomanPSMT" w:hAnsi="TimesNewRomanPSMT"/>
                <w:color w:val="000000"/>
                <w:sz w:val="24"/>
              </w:rPr>
              <w:t xml:space="preserve">dramatically since 9/11/2001.   Procurement obligations have increased 60% in the last five years. </w:t>
            </w:r>
          </w:p>
        </w:tc>
      </w:tr>
    </w:tbl>
    <w:p w:rsidR="00EC557F" w:rsidRDefault="00422FC7">
      <w:pPr>
        <w:autoSpaceDE w:val="0"/>
        <w:autoSpaceDN w:val="0"/>
        <w:spacing w:before="176" w:after="154" w:line="332" w:lineRule="exact"/>
        <w:ind w:left="1440"/>
      </w:pPr>
      <w:r>
        <w:rPr>
          <w:rFonts w:ascii="TimesNewRomanPS" w:eastAsia="TimesNewRomanPS" w:hAnsi="TimesNewRomanPS"/>
          <w:b/>
          <w:color w:val="000000"/>
          <w:sz w:val="24"/>
        </w:rPr>
        <w:t xml:space="preserve">Finding #2-2: </w:t>
      </w:r>
    </w:p>
    <w:tbl>
      <w:tblPr>
        <w:tblW w:w="0" w:type="auto"/>
        <w:tblInd w:w="720" w:type="dxa"/>
        <w:tblLayout w:type="fixed"/>
        <w:tblLook w:val="04A0" w:firstRow="1" w:lastRow="0" w:firstColumn="1" w:lastColumn="0" w:noHBand="0" w:noVBand="1"/>
      </w:tblPr>
      <w:tblGrid>
        <w:gridCol w:w="940"/>
        <w:gridCol w:w="7760"/>
      </w:tblGrid>
      <w:tr w:rsidR="00EC557F">
        <w:trPr>
          <w:trHeight w:hRule="exact" w:val="5684"/>
        </w:trPr>
        <w:tc>
          <w:tcPr>
            <w:tcW w:w="940" w:type="dxa"/>
            <w:tcMar>
              <w:left w:w="0" w:type="dxa"/>
              <w:right w:w="0" w:type="dxa"/>
            </w:tcMar>
          </w:tcPr>
          <w:p w:rsidR="00EC557F" w:rsidRDefault="00422FC7">
            <w:pPr>
              <w:autoSpaceDE w:val="0"/>
              <w:autoSpaceDN w:val="0"/>
              <w:spacing w:before="60" w:after="0" w:line="322" w:lineRule="exact"/>
              <w:ind w:right="136"/>
              <w:jc w:val="right"/>
            </w:pPr>
            <w:r>
              <w:rPr>
                <w:rFonts w:ascii="TimesNewRomanPSMT" w:eastAsia="TimesNewRomanPSMT" w:hAnsi="TimesNewRomanPSMT"/>
                <w:color w:val="000000"/>
                <w:sz w:val="24"/>
              </w:rPr>
              <w:t>•</w:t>
            </w:r>
          </w:p>
        </w:tc>
        <w:tc>
          <w:tcPr>
            <w:tcW w:w="7760" w:type="dxa"/>
            <w:tcMar>
              <w:left w:w="0" w:type="dxa"/>
              <w:right w:w="0" w:type="dxa"/>
            </w:tcMar>
          </w:tcPr>
          <w:p w:rsidR="00EC557F" w:rsidRDefault="00422FC7">
            <w:pPr>
              <w:autoSpaceDE w:val="0"/>
              <w:autoSpaceDN w:val="0"/>
              <w:spacing w:before="106" w:after="0" w:line="276" w:lineRule="exact"/>
              <w:ind w:left="140" w:right="144"/>
            </w:pPr>
            <w:r>
              <w:rPr>
                <w:rFonts w:ascii="TimesNewRomanPSMT" w:eastAsia="TimesNewRomanPSMT" w:hAnsi="TimesNewRomanPSMT"/>
                <w:color w:val="000000"/>
                <w:sz w:val="24"/>
              </w:rPr>
              <w:t xml:space="preserve">In the last twelve years the qualitative nature of the procurement activity has also changed, placing markedly greater demands on the Acquisition </w:t>
            </w:r>
            <w:r>
              <w:br/>
            </w:r>
            <w:r>
              <w:rPr>
                <w:rFonts w:ascii="TimesNewRomanPSMT" w:eastAsia="TimesNewRomanPSMT" w:hAnsi="TimesNewRomanPSMT"/>
                <w:color w:val="000000"/>
                <w:sz w:val="24"/>
              </w:rPr>
              <w:t xml:space="preserve">Workforce for capability, training, time, and sophistication. </w:t>
            </w:r>
          </w:p>
          <w:p w:rsidR="00EC557F" w:rsidRDefault="00422FC7">
            <w:pPr>
              <w:tabs>
                <w:tab w:val="left" w:pos="860"/>
              </w:tabs>
              <w:autoSpaceDE w:val="0"/>
              <w:autoSpaceDN w:val="0"/>
              <w:spacing w:before="296" w:after="0" w:line="272" w:lineRule="exact"/>
              <w:ind w:left="500"/>
            </w:pPr>
            <w:r>
              <w:rPr>
                <w:rFonts w:ascii="TimesNewRomanPS" w:eastAsia="TimesNewRomanPS" w:hAnsi="TimesNewRomanPS"/>
                <w:b/>
                <w:color w:val="000000"/>
                <w:sz w:val="24"/>
              </w:rPr>
              <w:t xml:space="preserve">Finding #2-2-1: </w:t>
            </w:r>
            <w:r>
              <w:br/>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There has been a pronounced shift from acquisition of goods to </w:t>
            </w:r>
            <w:r>
              <w:tab/>
            </w:r>
            <w:r>
              <w:rPr>
                <w:rFonts w:ascii="TimesNewRomanPSMT" w:eastAsia="TimesNewRomanPSMT" w:hAnsi="TimesNewRomanPSMT"/>
                <w:color w:val="000000"/>
                <w:sz w:val="24"/>
              </w:rPr>
              <w:t xml:space="preserve">acquisition of services.  Service contracting places additional demands </w:t>
            </w:r>
            <w:r>
              <w:tab/>
            </w:r>
            <w:r>
              <w:rPr>
                <w:rFonts w:ascii="TimesNewRomanPSMT" w:eastAsia="TimesNewRomanPSMT" w:hAnsi="TimesNewRomanPSMT"/>
                <w:color w:val="000000"/>
                <w:sz w:val="24"/>
              </w:rPr>
              <w:t xml:space="preserve">on the acquisition workforce, both in the requirements definition and </w:t>
            </w:r>
            <w:r>
              <w:tab/>
            </w:r>
            <w:r>
              <w:rPr>
                <w:rFonts w:ascii="TimesNewRomanPSMT" w:eastAsia="TimesNewRomanPSMT" w:hAnsi="TimesNewRomanPSMT"/>
                <w:color w:val="000000"/>
                <w:sz w:val="24"/>
              </w:rPr>
              <w:t>contract formation process, particularly in the realm of performance-</w:t>
            </w:r>
            <w:r>
              <w:tab/>
            </w:r>
            <w:r>
              <w:rPr>
                <w:rFonts w:ascii="TimesNewRomanPSMT" w:eastAsia="TimesNewRomanPSMT" w:hAnsi="TimesNewRomanPSMT"/>
                <w:color w:val="000000"/>
                <w:sz w:val="24"/>
              </w:rPr>
              <w:t xml:space="preserve">based service acquisition, but also on the contract management side. </w:t>
            </w:r>
          </w:p>
          <w:p w:rsidR="00EC557F" w:rsidRDefault="00422FC7">
            <w:pPr>
              <w:tabs>
                <w:tab w:val="left" w:pos="860"/>
              </w:tabs>
              <w:autoSpaceDE w:val="0"/>
              <w:autoSpaceDN w:val="0"/>
              <w:spacing w:before="300" w:after="0" w:line="268" w:lineRule="exact"/>
              <w:ind w:left="500" w:right="144"/>
            </w:pPr>
            <w:r>
              <w:rPr>
                <w:rFonts w:ascii="TimesNewRomanPS" w:eastAsia="TimesNewRomanPS" w:hAnsi="TimesNewRomanPS"/>
                <w:b/>
                <w:color w:val="000000"/>
                <w:sz w:val="24"/>
              </w:rPr>
              <w:t xml:space="preserve">Finding #2-2-2: </w:t>
            </w:r>
            <w:r>
              <w:br/>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There has been a dramatic shift of federal procurement dollars to the </w:t>
            </w:r>
            <w:r>
              <w:tab/>
            </w:r>
            <w:r>
              <w:rPr>
                <w:rFonts w:ascii="TimesNewRomanPSMT" w:eastAsia="TimesNewRomanPSMT" w:hAnsi="TimesNewRomanPSMT"/>
                <w:color w:val="000000"/>
                <w:sz w:val="24"/>
              </w:rPr>
              <w:t xml:space="preserve">federal supply schedules and other forms of interagency contracting. </w:t>
            </w:r>
          </w:p>
          <w:p w:rsidR="00EC557F" w:rsidRDefault="00422FC7">
            <w:pPr>
              <w:tabs>
                <w:tab w:val="left" w:pos="1220"/>
                <w:tab w:val="left" w:pos="1580"/>
              </w:tabs>
              <w:autoSpaceDE w:val="0"/>
              <w:autoSpaceDN w:val="0"/>
              <w:spacing w:before="44" w:after="0" w:line="276" w:lineRule="exact"/>
              <w:ind w:left="860"/>
            </w:pPr>
            <w:r>
              <w:rPr>
                <w:rFonts w:ascii="TimesNewRomanPSMT" w:eastAsia="TimesNewRomanPSMT" w:hAnsi="TimesNewRomanPSMT"/>
                <w:color w:val="000000"/>
                <w:sz w:val="24"/>
              </w:rPr>
              <w:t xml:space="preserve">Although this is often perceived, correctly, as part of the solution to the government’s procurement problems and its acquisition workforce shortcomings, it also opens the door to certain problems: </w:t>
            </w:r>
            <w:r>
              <w:br/>
            </w:r>
            <w:r>
              <w:tab/>
            </w:r>
            <w:r>
              <w:rPr>
                <w:rFonts w:ascii="TimesNewRomanPSMT" w:eastAsia="TimesNewRomanPSMT" w:hAnsi="TimesNewRomanPSMT"/>
                <w:color w:val="000000"/>
                <w:sz w:val="24"/>
              </w:rPr>
              <w:t xml:space="preserve">–Heavy reliance on the schedules and other forms of interagency </w:t>
            </w:r>
            <w:r>
              <w:tab/>
            </w:r>
            <w:r>
              <w:tab/>
            </w:r>
            <w:r>
              <w:rPr>
                <w:rFonts w:ascii="TimesNewRomanPSMT" w:eastAsia="TimesNewRomanPSMT" w:hAnsi="TimesNewRomanPSMT"/>
                <w:color w:val="000000"/>
                <w:sz w:val="24"/>
              </w:rPr>
              <w:t xml:space="preserve">contracting can alleviate the burdens on understaffed agencies </w:t>
            </w:r>
            <w:r>
              <w:tab/>
            </w:r>
            <w:r>
              <w:tab/>
            </w:r>
            <w:r>
              <w:rPr>
                <w:rFonts w:ascii="TimesNewRomanPSMT" w:eastAsia="TimesNewRomanPSMT" w:hAnsi="TimesNewRomanPSMT"/>
                <w:color w:val="000000"/>
                <w:sz w:val="24"/>
              </w:rPr>
              <w:t xml:space="preserve">insofar as “getting to the initial award,” but too often </w:t>
            </w:r>
          </w:p>
        </w:tc>
      </w:tr>
    </w:tbl>
    <w:p w:rsidR="00EC557F" w:rsidRDefault="00422FC7">
      <w:pPr>
        <w:autoSpaceDE w:val="0"/>
        <w:autoSpaceDN w:val="0"/>
        <w:spacing w:before="344" w:after="0" w:line="320" w:lineRule="exact"/>
        <w:ind w:right="72"/>
        <w:jc w:val="right"/>
      </w:pPr>
      <w:r>
        <w:rPr>
          <w:rFonts w:ascii="TimesNewRomanPSMT" w:eastAsia="TimesNewRomanPSMT" w:hAnsi="TimesNewRomanPSMT"/>
          <w:color w:val="000000"/>
          <w:sz w:val="24"/>
        </w:rPr>
        <w:t>1</w:t>
      </w:r>
    </w:p>
    <w:p w:rsidR="00EC557F" w:rsidRDefault="00EC557F">
      <w:pPr>
        <w:sectPr w:rsidR="00EC557F">
          <w:pgSz w:w="12240" w:h="15840"/>
          <w:pgMar w:top="704" w:right="1368" w:bottom="352" w:left="1440" w:header="720" w:footer="720" w:gutter="0"/>
          <w:cols w:space="720"/>
          <w:docGrid w:linePitch="360"/>
        </w:sectPr>
      </w:pPr>
    </w:p>
    <w:p w:rsidR="00EC557F" w:rsidRDefault="00EC557F">
      <w:pPr>
        <w:autoSpaceDE w:val="0"/>
        <w:autoSpaceDN w:val="0"/>
        <w:spacing w:after="484" w:line="220" w:lineRule="exact"/>
      </w:pPr>
    </w:p>
    <w:p w:rsidR="00EC557F" w:rsidRDefault="00422FC7">
      <w:pPr>
        <w:autoSpaceDE w:val="0"/>
        <w:autoSpaceDN w:val="0"/>
        <w:spacing w:before="44" w:after="0" w:line="276" w:lineRule="exact"/>
        <w:ind w:left="3240"/>
      </w:pPr>
      <w:r>
        <w:rPr>
          <w:rFonts w:ascii="TimesNewRomanPSMT" w:eastAsia="TimesNewRomanPSMT" w:hAnsi="TimesNewRomanPSMT"/>
          <w:color w:val="000000"/>
          <w:sz w:val="24"/>
        </w:rPr>
        <w:t xml:space="preserve">contributes to subsequent problems that arise when ordering agencies fail to define their requirements adequately, fail to use these vehicles appropriately, fail to secure competition in using these vehicles, or fail to manage contract performance under these vehicles.  Some of these problems are more acute with respect to assisting entities as opposed to direct ordering </w:t>
      </w:r>
      <w:r>
        <w:br/>
      </w:r>
      <w:r>
        <w:rPr>
          <w:rFonts w:ascii="TimesNewRomanPSMT" w:eastAsia="TimesNewRomanPSMT" w:hAnsi="TimesNewRomanPSMT"/>
          <w:color w:val="000000"/>
          <w:sz w:val="24"/>
        </w:rPr>
        <w:t xml:space="preserve">vehicles. </w:t>
      </w:r>
    </w:p>
    <w:p w:rsidR="00EC557F" w:rsidRDefault="00422FC7">
      <w:pPr>
        <w:autoSpaceDE w:val="0"/>
        <w:autoSpaceDN w:val="0"/>
        <w:spacing w:before="236" w:after="154" w:line="334" w:lineRule="exact"/>
        <w:ind w:left="1440"/>
      </w:pPr>
      <w:r>
        <w:rPr>
          <w:rFonts w:ascii="TimesNewRomanPS" w:eastAsia="TimesNewRomanPS" w:hAnsi="TimesNewRomanPS"/>
          <w:b/>
          <w:color w:val="000000"/>
          <w:sz w:val="24"/>
        </w:rPr>
        <w:t xml:space="preserve">Finding #2-3: </w:t>
      </w:r>
    </w:p>
    <w:tbl>
      <w:tblPr>
        <w:tblW w:w="0" w:type="auto"/>
        <w:tblInd w:w="720" w:type="dxa"/>
        <w:tblLayout w:type="fixed"/>
        <w:tblLook w:val="04A0" w:firstRow="1" w:lastRow="0" w:firstColumn="1" w:lastColumn="0" w:noHBand="0" w:noVBand="1"/>
      </w:tblPr>
      <w:tblGrid>
        <w:gridCol w:w="940"/>
        <w:gridCol w:w="7680"/>
      </w:tblGrid>
      <w:tr w:rsidR="00EC557F">
        <w:trPr>
          <w:trHeight w:hRule="exact" w:val="2372"/>
        </w:trPr>
        <w:tc>
          <w:tcPr>
            <w:tcW w:w="940" w:type="dxa"/>
            <w:tcMar>
              <w:left w:w="0" w:type="dxa"/>
              <w:right w:w="0" w:type="dxa"/>
            </w:tcMar>
          </w:tcPr>
          <w:p w:rsidR="00EC557F" w:rsidRDefault="00422FC7">
            <w:pPr>
              <w:autoSpaceDE w:val="0"/>
              <w:autoSpaceDN w:val="0"/>
              <w:spacing w:before="60" w:after="0" w:line="320" w:lineRule="exact"/>
              <w:ind w:right="136"/>
              <w:jc w:val="right"/>
            </w:pPr>
            <w:r>
              <w:rPr>
                <w:rFonts w:ascii="TimesNewRomanPSMT" w:eastAsia="TimesNewRomanPSMT" w:hAnsi="TimesNewRomanPSMT"/>
                <w:color w:val="000000"/>
                <w:sz w:val="24"/>
              </w:rPr>
              <w:t>•</w:t>
            </w:r>
          </w:p>
        </w:tc>
        <w:tc>
          <w:tcPr>
            <w:tcW w:w="768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Many transactions have been simplified by the federal acquisition reforms of the last decade.  This is particularly true of the purchase card and the </w:t>
            </w:r>
            <w:r>
              <w:br/>
            </w:r>
            <w:r>
              <w:rPr>
                <w:rFonts w:ascii="TimesNewRomanPSMT" w:eastAsia="TimesNewRomanPSMT" w:hAnsi="TimesNewRomanPSMT"/>
                <w:color w:val="000000"/>
                <w:sz w:val="24"/>
              </w:rPr>
              <w:t xml:space="preserve">simplified acquisition threshold.  These simplified transactions represent the overwhelming bulk of procurement transactions if we simply count </w:t>
            </w:r>
            <w:r>
              <w:br/>
            </w:r>
            <w:r>
              <w:rPr>
                <w:rFonts w:ascii="TimesNewRomanPSMT" w:eastAsia="TimesNewRomanPSMT" w:hAnsi="TimesNewRomanPSMT"/>
                <w:color w:val="000000"/>
                <w:sz w:val="24"/>
              </w:rPr>
              <w:t xml:space="preserve">transactions.  However, even the simplified purchase card transactions have a more complex impact on the acquisition workforce than was initially </w:t>
            </w:r>
            <w:r>
              <w:br/>
            </w:r>
            <w:r>
              <w:rPr>
                <w:rFonts w:ascii="TimesNewRomanPSMT" w:eastAsia="TimesNewRomanPSMT" w:hAnsi="TimesNewRomanPSMT"/>
                <w:color w:val="000000"/>
                <w:sz w:val="24"/>
              </w:rPr>
              <w:t xml:space="preserve">appreciated, because of the need to institute and maintain appropriate </w:t>
            </w:r>
            <w:r>
              <w:br/>
            </w:r>
            <w:r>
              <w:rPr>
                <w:rFonts w:ascii="TimesNewRomanPSMT" w:eastAsia="TimesNewRomanPSMT" w:hAnsi="TimesNewRomanPSMT"/>
                <w:color w:val="000000"/>
                <w:sz w:val="24"/>
              </w:rPr>
              <w:t xml:space="preserve">purchase card management and controls. </w:t>
            </w:r>
          </w:p>
        </w:tc>
      </w:tr>
    </w:tbl>
    <w:p w:rsidR="00EC557F" w:rsidRDefault="00422FC7">
      <w:pPr>
        <w:autoSpaceDE w:val="0"/>
        <w:autoSpaceDN w:val="0"/>
        <w:spacing w:before="176" w:after="154" w:line="334" w:lineRule="exact"/>
        <w:ind w:left="1440"/>
      </w:pPr>
      <w:r>
        <w:rPr>
          <w:rFonts w:ascii="TimesNewRomanPS" w:eastAsia="TimesNewRomanPS" w:hAnsi="TimesNewRomanPS"/>
          <w:b/>
          <w:color w:val="000000"/>
          <w:sz w:val="24"/>
        </w:rPr>
        <w:t xml:space="preserve">Finding #2-4: </w:t>
      </w:r>
    </w:p>
    <w:tbl>
      <w:tblPr>
        <w:tblW w:w="0" w:type="auto"/>
        <w:tblInd w:w="720" w:type="dxa"/>
        <w:tblLayout w:type="fixed"/>
        <w:tblLook w:val="04A0" w:firstRow="1" w:lastRow="0" w:firstColumn="1" w:lastColumn="0" w:noHBand="0" w:noVBand="1"/>
      </w:tblPr>
      <w:tblGrid>
        <w:gridCol w:w="940"/>
        <w:gridCol w:w="7700"/>
      </w:tblGrid>
      <w:tr w:rsidR="00EC557F">
        <w:trPr>
          <w:trHeight w:hRule="exact" w:val="6512"/>
        </w:trPr>
        <w:tc>
          <w:tcPr>
            <w:tcW w:w="940" w:type="dxa"/>
            <w:tcMar>
              <w:left w:w="0" w:type="dxa"/>
              <w:right w:w="0" w:type="dxa"/>
            </w:tcMar>
          </w:tcPr>
          <w:p w:rsidR="00EC557F" w:rsidRDefault="00422FC7">
            <w:pPr>
              <w:autoSpaceDE w:val="0"/>
              <w:autoSpaceDN w:val="0"/>
              <w:spacing w:before="60" w:after="0" w:line="320" w:lineRule="exact"/>
              <w:ind w:right="136"/>
              <w:jc w:val="right"/>
            </w:pPr>
            <w:r>
              <w:rPr>
                <w:rFonts w:ascii="TimesNewRomanPSMT" w:eastAsia="TimesNewRomanPSMT" w:hAnsi="TimesNewRomanPSMT"/>
                <w:color w:val="000000"/>
                <w:sz w:val="24"/>
              </w:rPr>
              <w:t>•</w:t>
            </w:r>
          </w:p>
        </w:tc>
        <w:tc>
          <w:tcPr>
            <w:tcW w:w="770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But the remaining share of procurement –outside the ambit of simplified procedures-- is the portion that actually requires most of our attention going forward. For this critical share of the government’s procurement activity, the demands of procurement on the acquisition workforce have grown </w:t>
            </w:r>
            <w:r>
              <w:br/>
            </w:r>
            <w:r>
              <w:rPr>
                <w:rFonts w:ascii="TimesNewRomanPSMT" w:eastAsia="TimesNewRomanPSMT" w:hAnsi="TimesNewRomanPSMT"/>
                <w:color w:val="000000"/>
                <w:sz w:val="24"/>
              </w:rPr>
              <w:t>dramatically.  The changes in our procurement system that produce these demands may be desirable, but they are not cost-free.</w:t>
            </w:r>
          </w:p>
          <w:p w:rsidR="00EC557F" w:rsidRDefault="00422FC7">
            <w:pPr>
              <w:tabs>
                <w:tab w:val="left" w:pos="860"/>
              </w:tabs>
              <w:autoSpaceDE w:val="0"/>
              <w:autoSpaceDN w:val="0"/>
              <w:spacing w:before="296" w:after="0" w:line="272" w:lineRule="exact"/>
              <w:ind w:left="500"/>
            </w:pPr>
            <w:r>
              <w:rPr>
                <w:rFonts w:ascii="TimesNewRomanPS" w:eastAsia="TimesNewRomanPS" w:hAnsi="TimesNewRomanPS"/>
                <w:b/>
                <w:color w:val="000000"/>
                <w:sz w:val="24"/>
              </w:rPr>
              <w:t xml:space="preserve">Finding #2-4-1: </w:t>
            </w:r>
            <w:r>
              <w:br/>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Procurement outside the simplified regimes is characterized by use of </w:t>
            </w:r>
            <w:r>
              <w:tab/>
            </w:r>
            <w:r>
              <w:rPr>
                <w:rFonts w:ascii="TimesNewRomanPSMT" w:eastAsia="TimesNewRomanPSMT" w:hAnsi="TimesNewRomanPSMT"/>
                <w:color w:val="000000"/>
                <w:sz w:val="24"/>
              </w:rPr>
              <w:t xml:space="preserve">best value procurement procedures, which substantially increase the </w:t>
            </w:r>
            <w:r>
              <w:tab/>
            </w:r>
            <w:r>
              <w:rPr>
                <w:rFonts w:ascii="TimesNewRomanPSMT" w:eastAsia="TimesNewRomanPSMT" w:hAnsi="TimesNewRomanPSMT"/>
                <w:color w:val="000000"/>
                <w:sz w:val="24"/>
              </w:rPr>
              <w:t xml:space="preserve">complexity of procurement and the demands on the acquisition </w:t>
            </w:r>
            <w:r>
              <w:tab/>
            </w:r>
            <w:r>
              <w:rPr>
                <w:rFonts w:ascii="TimesNewRomanPSMT" w:eastAsia="TimesNewRomanPSMT" w:hAnsi="TimesNewRomanPSMT"/>
                <w:color w:val="000000"/>
                <w:sz w:val="24"/>
              </w:rPr>
              <w:t xml:space="preserve">workforce as compared with procurement on the basis of lowest price. </w:t>
            </w:r>
          </w:p>
          <w:p w:rsidR="00EC557F" w:rsidRDefault="00422FC7">
            <w:pPr>
              <w:tabs>
                <w:tab w:val="left" w:pos="860"/>
              </w:tabs>
              <w:autoSpaceDE w:val="0"/>
              <w:autoSpaceDN w:val="0"/>
              <w:spacing w:before="298" w:after="0" w:line="270" w:lineRule="exact"/>
              <w:ind w:left="500"/>
            </w:pPr>
            <w:r>
              <w:rPr>
                <w:rFonts w:ascii="TimesNewRomanPS" w:eastAsia="TimesNewRomanPS" w:hAnsi="TimesNewRomanPS"/>
                <w:b/>
                <w:color w:val="000000"/>
                <w:sz w:val="24"/>
              </w:rPr>
              <w:t xml:space="preserve">Finding #2-4-2: </w:t>
            </w:r>
            <w:r>
              <w:br/>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Procurement outside the simplified regimes is subject to requirements </w:t>
            </w:r>
            <w:r>
              <w:tab/>
            </w:r>
            <w:r>
              <w:rPr>
                <w:rFonts w:ascii="TimesNewRomanPSMT" w:eastAsia="TimesNewRomanPSMT" w:hAnsi="TimesNewRomanPSMT"/>
                <w:color w:val="000000"/>
                <w:sz w:val="24"/>
              </w:rPr>
              <w:t xml:space="preserve">of past performance evaluation which substantially increase the </w:t>
            </w:r>
            <w:r>
              <w:tab/>
            </w:r>
            <w:r>
              <w:rPr>
                <w:rFonts w:ascii="TimesNewRomanPSMT" w:eastAsia="TimesNewRomanPSMT" w:hAnsi="TimesNewRomanPSMT"/>
                <w:color w:val="000000"/>
                <w:sz w:val="24"/>
              </w:rPr>
              <w:t xml:space="preserve">burdens of procurement on the acquisition workforce. </w:t>
            </w:r>
          </w:p>
          <w:p w:rsidR="00EC557F" w:rsidRDefault="00422FC7">
            <w:pPr>
              <w:tabs>
                <w:tab w:val="left" w:pos="860"/>
              </w:tabs>
              <w:autoSpaceDE w:val="0"/>
              <w:autoSpaceDN w:val="0"/>
              <w:spacing w:before="296" w:after="0" w:line="272" w:lineRule="exact"/>
              <w:ind w:left="500"/>
            </w:pPr>
            <w:r>
              <w:rPr>
                <w:rFonts w:ascii="TimesNewRomanPS" w:eastAsia="TimesNewRomanPS" w:hAnsi="TimesNewRomanPS"/>
                <w:b/>
                <w:color w:val="000000"/>
                <w:sz w:val="24"/>
              </w:rPr>
              <w:t xml:space="preserve">Finding #2-4-3 </w:t>
            </w:r>
            <w:r>
              <w:br/>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A substantial share of procurement outside the simplified regimes is </w:t>
            </w:r>
            <w:r>
              <w:tab/>
            </w:r>
            <w:r>
              <w:rPr>
                <w:rFonts w:ascii="TimesNewRomanPSMT" w:eastAsia="TimesNewRomanPSMT" w:hAnsi="TimesNewRomanPSMT"/>
                <w:color w:val="000000"/>
                <w:sz w:val="24"/>
              </w:rPr>
              <w:t xml:space="preserve">performance-based services acquisition, which dramatically increases </w:t>
            </w:r>
            <w:r>
              <w:tab/>
            </w:r>
            <w:r>
              <w:rPr>
                <w:rFonts w:ascii="TimesNewRomanPSMT" w:eastAsia="TimesNewRomanPSMT" w:hAnsi="TimesNewRomanPSMT"/>
                <w:color w:val="000000"/>
                <w:sz w:val="24"/>
              </w:rPr>
              <w:t xml:space="preserve">the complexity and burden of demands imposed on the federal </w:t>
            </w:r>
            <w:r>
              <w:tab/>
            </w:r>
            <w:r>
              <w:rPr>
                <w:rFonts w:ascii="TimesNewRomanPSMT" w:eastAsia="TimesNewRomanPSMT" w:hAnsi="TimesNewRomanPSMT"/>
                <w:color w:val="000000"/>
                <w:sz w:val="24"/>
              </w:rPr>
              <w:t xml:space="preserve">acquisition workforce. </w:t>
            </w:r>
          </w:p>
        </w:tc>
      </w:tr>
    </w:tbl>
    <w:p w:rsidR="00EC557F" w:rsidRDefault="00422FC7">
      <w:pPr>
        <w:autoSpaceDE w:val="0"/>
        <w:autoSpaceDN w:val="0"/>
        <w:spacing w:before="176" w:after="0" w:line="332" w:lineRule="exact"/>
        <w:ind w:left="2160"/>
      </w:pPr>
      <w:r>
        <w:rPr>
          <w:rFonts w:ascii="TimesNewRomanPS" w:eastAsia="TimesNewRomanPS" w:hAnsi="TimesNewRomanPS"/>
          <w:b/>
          <w:color w:val="000000"/>
          <w:sz w:val="24"/>
        </w:rPr>
        <w:t xml:space="preserve">Finding #2-4-3 </w:t>
      </w:r>
    </w:p>
    <w:p w:rsidR="00EC557F" w:rsidRDefault="00422FC7">
      <w:pPr>
        <w:autoSpaceDE w:val="0"/>
        <w:autoSpaceDN w:val="0"/>
        <w:spacing w:before="650" w:after="0" w:line="320" w:lineRule="exact"/>
        <w:ind w:right="52"/>
        <w:jc w:val="right"/>
      </w:pPr>
      <w:r>
        <w:rPr>
          <w:rFonts w:ascii="TimesNewRomanPSMT" w:eastAsia="TimesNewRomanPSMT" w:hAnsi="TimesNewRomanPSMT"/>
          <w:color w:val="000000"/>
          <w:sz w:val="24"/>
        </w:rPr>
        <w:t>2</w:t>
      </w:r>
    </w:p>
    <w:p w:rsidR="00EC557F" w:rsidRDefault="00EC557F">
      <w:pPr>
        <w:sectPr w:rsidR="00EC557F">
          <w:pgSz w:w="12240" w:h="15840"/>
          <w:pgMar w:top="704" w:right="1388" w:bottom="352" w:left="1440" w:header="720" w:footer="720" w:gutter="0"/>
          <w:cols w:space="720"/>
          <w:docGrid w:linePitch="360"/>
        </w:sectPr>
      </w:pPr>
    </w:p>
    <w:p w:rsidR="00EC557F" w:rsidRDefault="00EC557F">
      <w:pPr>
        <w:autoSpaceDE w:val="0"/>
        <w:autoSpaceDN w:val="0"/>
        <w:spacing w:after="484" w:line="220" w:lineRule="exact"/>
      </w:pPr>
    </w:p>
    <w:tbl>
      <w:tblPr>
        <w:tblW w:w="0" w:type="auto"/>
        <w:tblInd w:w="1080" w:type="dxa"/>
        <w:tblLayout w:type="fixed"/>
        <w:tblLook w:val="04A0" w:firstRow="1" w:lastRow="0" w:firstColumn="1" w:lastColumn="0" w:noHBand="0" w:noVBand="1"/>
      </w:tblPr>
      <w:tblGrid>
        <w:gridCol w:w="1300"/>
        <w:gridCol w:w="6940"/>
      </w:tblGrid>
      <w:tr w:rsidR="00EC557F">
        <w:trPr>
          <w:trHeight w:hRule="exact" w:val="1208"/>
        </w:trPr>
        <w:tc>
          <w:tcPr>
            <w:tcW w:w="1300" w:type="dxa"/>
            <w:tcMar>
              <w:left w:w="0" w:type="dxa"/>
              <w:right w:w="0" w:type="dxa"/>
            </w:tcMar>
          </w:tcPr>
          <w:p w:rsidR="00EC557F" w:rsidRDefault="00422FC7">
            <w:pPr>
              <w:autoSpaceDE w:val="0"/>
              <w:autoSpaceDN w:val="0"/>
              <w:spacing w:after="0" w:line="320" w:lineRule="exact"/>
              <w:ind w:right="136"/>
              <w:jc w:val="right"/>
            </w:pPr>
            <w:r>
              <w:rPr>
                <w:rFonts w:ascii="TimesNewRomanPSMT" w:eastAsia="TimesNewRomanPSMT" w:hAnsi="TimesNewRomanPSMT"/>
                <w:color w:val="000000"/>
                <w:sz w:val="24"/>
              </w:rPr>
              <w:t>•</w:t>
            </w:r>
          </w:p>
        </w:tc>
        <w:tc>
          <w:tcPr>
            <w:tcW w:w="6940" w:type="dxa"/>
            <w:tcMar>
              <w:left w:w="0" w:type="dxa"/>
              <w:right w:w="0" w:type="dxa"/>
            </w:tcMar>
          </w:tcPr>
          <w:p w:rsidR="00EC557F" w:rsidRDefault="00422FC7">
            <w:pPr>
              <w:autoSpaceDE w:val="0"/>
              <w:autoSpaceDN w:val="0"/>
              <w:spacing w:before="44" w:after="0" w:line="276" w:lineRule="exact"/>
              <w:ind w:left="140"/>
            </w:pPr>
            <w:r>
              <w:rPr>
                <w:rFonts w:ascii="TimesNewRomanPSMT" w:eastAsia="TimesNewRomanPSMT" w:hAnsi="TimesNewRomanPSMT"/>
                <w:color w:val="000000"/>
                <w:sz w:val="24"/>
              </w:rPr>
              <w:t xml:space="preserve">A substantial share of procurement outside the simplified regimes is performance-based services acquisition, which dramatically increases the complexity and burden of demands imposed on the federal </w:t>
            </w:r>
            <w:r>
              <w:br/>
            </w:r>
            <w:r>
              <w:rPr>
                <w:rFonts w:ascii="TimesNewRomanPSMT" w:eastAsia="TimesNewRomanPSMT" w:hAnsi="TimesNewRomanPSMT"/>
                <w:color w:val="000000"/>
                <w:sz w:val="24"/>
              </w:rPr>
              <w:t xml:space="preserve">acquisition workforce. </w:t>
            </w:r>
          </w:p>
        </w:tc>
      </w:tr>
    </w:tbl>
    <w:p w:rsidR="00EC557F" w:rsidRDefault="00422FC7">
      <w:pPr>
        <w:autoSpaceDE w:val="0"/>
        <w:autoSpaceDN w:val="0"/>
        <w:spacing w:before="176" w:after="0" w:line="334" w:lineRule="exact"/>
      </w:pPr>
      <w:r>
        <w:rPr>
          <w:rFonts w:ascii="TimesNewRomanPS" w:eastAsia="TimesNewRomanPS" w:hAnsi="TimesNewRomanPS"/>
          <w:b/>
          <w:color w:val="000000"/>
          <w:sz w:val="24"/>
        </w:rPr>
        <w:t xml:space="preserve">Finding #3: </w:t>
      </w:r>
    </w:p>
    <w:p w:rsidR="00EC557F" w:rsidRDefault="00422FC7">
      <w:pPr>
        <w:autoSpaceDE w:val="0"/>
        <w:autoSpaceDN w:val="0"/>
        <w:spacing w:before="258" w:after="0" w:line="276" w:lineRule="exact"/>
      </w:pPr>
      <w:r>
        <w:rPr>
          <w:rFonts w:ascii="TimesNewRomanPSMT" w:eastAsia="TimesNewRomanPSMT" w:hAnsi="TimesNewRomanPSMT"/>
          <w:color w:val="000000"/>
          <w:sz w:val="24"/>
        </w:rPr>
        <w:t xml:space="preserve">Even though there are now available a variety of simplified acquisition techniques, the </w:t>
      </w:r>
      <w:r>
        <w:br/>
      </w:r>
      <w:r>
        <w:rPr>
          <w:rFonts w:ascii="TimesNewRomanPSMT" w:eastAsia="TimesNewRomanPSMT" w:hAnsi="TimesNewRomanPSMT"/>
          <w:color w:val="000000"/>
          <w:sz w:val="24"/>
        </w:rPr>
        <w:t xml:space="preserve">complexity of the federal acquisition system </w:t>
      </w:r>
      <w:r>
        <w:rPr>
          <w:rFonts w:ascii="TimesNewRomanPS" w:eastAsia="TimesNewRomanPS" w:hAnsi="TimesNewRomanPS"/>
          <w:i/>
          <w:color w:val="000000"/>
          <w:sz w:val="24"/>
        </w:rPr>
        <w:t>as a whole</w:t>
      </w:r>
      <w:r>
        <w:rPr>
          <w:rFonts w:ascii="TimesNewRomanPSMT" w:eastAsia="TimesNewRomanPSMT" w:hAnsi="TimesNewRomanPSMT"/>
          <w:color w:val="000000"/>
          <w:sz w:val="24"/>
        </w:rPr>
        <w:t xml:space="preserve"> has markedly increased since the 1980s. </w:t>
      </w:r>
    </w:p>
    <w:p w:rsidR="00EC557F" w:rsidRDefault="00422FC7">
      <w:pPr>
        <w:tabs>
          <w:tab w:val="left" w:pos="720"/>
          <w:tab w:val="left" w:pos="7200"/>
        </w:tabs>
        <w:autoSpaceDE w:val="0"/>
        <w:autoSpaceDN w:val="0"/>
        <w:spacing w:before="44" w:after="0" w:line="276" w:lineRule="exact"/>
        <w:ind w:left="360"/>
      </w:pPr>
      <w:r>
        <w:rPr>
          <w:rFonts w:ascii="TimesNewRomanPSMT" w:eastAsia="TimesNewRomanPSMT" w:hAnsi="TimesNewRomanPSMT"/>
          <w:color w:val="000000"/>
          <w:sz w:val="24"/>
        </w:rPr>
        <w:t xml:space="preserve">- </w:t>
      </w:r>
      <w:r>
        <w:tab/>
      </w:r>
      <w:r>
        <w:rPr>
          <w:rFonts w:ascii="TimesNewRomanPSMT" w:eastAsia="TimesNewRomanPSMT" w:hAnsi="TimesNewRomanPSMT"/>
          <w:color w:val="000000"/>
          <w:sz w:val="24"/>
        </w:rPr>
        <w:t xml:space="preserve">Procurement reforms designed to accelerate mission accomplishment nonetheless  burden the acquisition workforce, which needs to choose among available </w:t>
      </w:r>
      <w:r>
        <w:tab/>
      </w:r>
      <w:r>
        <w:rPr>
          <w:rFonts w:ascii="TimesNewRomanPSMT" w:eastAsia="TimesNewRomanPSMT" w:hAnsi="TimesNewRomanPSMT"/>
          <w:color w:val="000000"/>
          <w:sz w:val="24"/>
        </w:rPr>
        <w:t xml:space="preserve">techniques. There are difficult decisions to about when to use which approach. </w:t>
      </w:r>
    </w:p>
    <w:p w:rsidR="00EC557F" w:rsidRDefault="00422FC7">
      <w:pPr>
        <w:autoSpaceDE w:val="0"/>
        <w:autoSpaceDN w:val="0"/>
        <w:spacing w:before="44" w:after="0" w:line="276" w:lineRule="exact"/>
        <w:ind w:left="360" w:right="1152"/>
      </w:pPr>
      <w:r>
        <w:rPr>
          <w:rFonts w:ascii="TimesNewRomanPSMT" w:eastAsia="TimesNewRomanPSMT" w:hAnsi="TimesNewRomanPSMT"/>
          <w:color w:val="000000"/>
          <w:sz w:val="24"/>
        </w:rPr>
        <w:t xml:space="preserve">The acquisition workforce also needs to be equipped to exercise discretion in - </w:t>
      </w:r>
      <w:r>
        <w:br/>
      </w:r>
      <w:r>
        <w:rPr>
          <w:rFonts w:ascii="TimesNewRomanPSMT" w:eastAsia="TimesNewRomanPSMT" w:hAnsi="TimesNewRomanPSMT"/>
          <w:color w:val="000000"/>
          <w:sz w:val="24"/>
        </w:rPr>
        <w:t xml:space="preserve">choosing the appropriate procedure for procurement. </w:t>
      </w:r>
    </w:p>
    <w:p w:rsidR="00EC557F" w:rsidRDefault="00422FC7">
      <w:pPr>
        <w:tabs>
          <w:tab w:val="left" w:pos="720"/>
          <w:tab w:val="left" w:pos="5760"/>
          <w:tab w:val="left" w:pos="7200"/>
        </w:tabs>
        <w:autoSpaceDE w:val="0"/>
        <w:autoSpaceDN w:val="0"/>
        <w:spacing w:before="44" w:after="0" w:line="276" w:lineRule="exact"/>
        <w:ind w:left="360" w:right="144"/>
      </w:pPr>
      <w:r>
        <w:rPr>
          <w:rFonts w:ascii="TimesNewRomanPSMT" w:eastAsia="TimesNewRomanPSMT" w:hAnsi="TimesNewRomanPSMT"/>
          <w:color w:val="000000"/>
          <w:sz w:val="24"/>
        </w:rPr>
        <w:t xml:space="preserve">- </w:t>
      </w:r>
      <w:r>
        <w:tab/>
      </w:r>
      <w:r>
        <w:rPr>
          <w:rFonts w:ascii="TimesNewRomanPSMT" w:eastAsia="TimesNewRomanPSMT" w:hAnsi="TimesNewRomanPSMT"/>
          <w:color w:val="000000"/>
          <w:sz w:val="24"/>
        </w:rPr>
        <w:t xml:space="preserve">While some procurement functions can be performed satisfactorily by personnel  with mastery only over the simplified techniques, more complex federal </w:t>
      </w:r>
      <w:r>
        <w:tab/>
      </w:r>
      <w:r>
        <w:rPr>
          <w:rFonts w:ascii="TimesNewRomanPSMT" w:eastAsia="TimesNewRomanPSMT" w:hAnsi="TimesNewRomanPSMT"/>
          <w:color w:val="000000"/>
          <w:sz w:val="24"/>
        </w:rPr>
        <w:t xml:space="preserve">acquisitions demand procurement personnel with mastery of the range of </w:t>
      </w:r>
      <w:r>
        <w:tab/>
      </w:r>
      <w:r>
        <w:rPr>
          <w:rFonts w:ascii="TimesNewRomanPSMT" w:eastAsia="TimesNewRomanPSMT" w:hAnsi="TimesNewRomanPSMT"/>
          <w:color w:val="000000"/>
          <w:sz w:val="24"/>
        </w:rPr>
        <w:t xml:space="preserve">procurement techniques.  Thus the complexity of the acquisition system, taken as  a whole, has become a major challenge to the acquisition workforce. </w:t>
      </w:r>
    </w:p>
    <w:p w:rsidR="00EC557F" w:rsidRDefault="00422FC7">
      <w:pPr>
        <w:autoSpaceDE w:val="0"/>
        <w:autoSpaceDN w:val="0"/>
        <w:spacing w:before="236" w:after="0" w:line="334" w:lineRule="exact"/>
      </w:pPr>
      <w:r>
        <w:rPr>
          <w:rFonts w:ascii="TimesNewRomanPS" w:eastAsia="TimesNewRomanPS" w:hAnsi="TimesNewRomanPS"/>
          <w:b/>
          <w:color w:val="000000"/>
          <w:sz w:val="24"/>
        </w:rPr>
        <w:t xml:space="preserve">Finding #4: </w:t>
      </w:r>
    </w:p>
    <w:p w:rsidR="00EC557F" w:rsidRDefault="00422FC7">
      <w:pPr>
        <w:autoSpaceDE w:val="0"/>
        <w:autoSpaceDN w:val="0"/>
        <w:spacing w:before="258" w:after="0" w:line="276" w:lineRule="exact"/>
        <w:ind w:right="864"/>
      </w:pPr>
      <w:r>
        <w:rPr>
          <w:rFonts w:ascii="TimesNewRomanPSMT" w:eastAsia="TimesNewRomanPSMT" w:hAnsi="TimesNewRomanPSMT"/>
          <w:color w:val="000000"/>
          <w:sz w:val="24"/>
        </w:rPr>
        <w:t xml:space="preserve">There are substantial problems with the data that are available on the federal acquisition workforce. </w:t>
      </w:r>
    </w:p>
    <w:p w:rsidR="00EC557F" w:rsidRDefault="00422FC7">
      <w:pPr>
        <w:autoSpaceDE w:val="0"/>
        <w:autoSpaceDN w:val="0"/>
        <w:spacing w:before="236" w:after="152" w:line="334" w:lineRule="exact"/>
        <w:ind w:left="1440"/>
      </w:pPr>
      <w:r>
        <w:rPr>
          <w:rFonts w:ascii="TimesNewRomanPS" w:eastAsia="TimesNewRomanPS" w:hAnsi="TimesNewRomanPS"/>
          <w:b/>
          <w:color w:val="000000"/>
          <w:sz w:val="24"/>
        </w:rPr>
        <w:t>Finding #4-1:</w:t>
      </w:r>
    </w:p>
    <w:tbl>
      <w:tblPr>
        <w:tblW w:w="0" w:type="auto"/>
        <w:tblInd w:w="720" w:type="dxa"/>
        <w:tblLayout w:type="fixed"/>
        <w:tblLook w:val="04A0" w:firstRow="1" w:lastRow="0" w:firstColumn="1" w:lastColumn="0" w:noHBand="0" w:noVBand="1"/>
      </w:tblPr>
      <w:tblGrid>
        <w:gridCol w:w="940"/>
        <w:gridCol w:w="7700"/>
      </w:tblGrid>
      <w:tr w:rsidR="00EC557F">
        <w:trPr>
          <w:trHeight w:hRule="exact" w:val="718"/>
        </w:trPr>
        <w:tc>
          <w:tcPr>
            <w:tcW w:w="940" w:type="dxa"/>
            <w:tcMar>
              <w:left w:w="0" w:type="dxa"/>
              <w:right w:w="0" w:type="dxa"/>
            </w:tcMar>
          </w:tcPr>
          <w:p w:rsidR="00EC557F" w:rsidRDefault="00422FC7">
            <w:pPr>
              <w:autoSpaceDE w:val="0"/>
              <w:autoSpaceDN w:val="0"/>
              <w:spacing w:before="60" w:after="0" w:line="322" w:lineRule="exact"/>
              <w:ind w:right="136"/>
              <w:jc w:val="right"/>
            </w:pPr>
            <w:r>
              <w:rPr>
                <w:rFonts w:ascii="TimesNewRomanPSMT" w:eastAsia="TimesNewRomanPSMT" w:hAnsi="TimesNewRomanPSMT"/>
                <w:color w:val="000000"/>
                <w:sz w:val="24"/>
              </w:rPr>
              <w:t>•</w:t>
            </w:r>
          </w:p>
        </w:tc>
        <w:tc>
          <w:tcPr>
            <w:tcW w:w="7700" w:type="dxa"/>
            <w:tcMar>
              <w:left w:w="0" w:type="dxa"/>
              <w:right w:w="0" w:type="dxa"/>
            </w:tcMar>
          </w:tcPr>
          <w:p w:rsidR="00EC557F" w:rsidRDefault="00422FC7">
            <w:pPr>
              <w:autoSpaceDE w:val="0"/>
              <w:autoSpaceDN w:val="0"/>
              <w:spacing w:before="106" w:after="0" w:line="276" w:lineRule="exact"/>
              <w:ind w:left="140"/>
            </w:pPr>
            <w:r>
              <w:rPr>
                <w:rFonts w:ascii="TimesNewRomanPSMT" w:eastAsia="TimesNewRomanPSMT" w:hAnsi="TimesNewRomanPSMT"/>
                <w:color w:val="000000"/>
                <w:sz w:val="24"/>
              </w:rPr>
              <w:t xml:space="preserve">Data has not been collected in a consistent fashion from year to year or across agencies </w:t>
            </w:r>
          </w:p>
        </w:tc>
      </w:tr>
    </w:tbl>
    <w:p w:rsidR="00EC557F" w:rsidRDefault="00422FC7">
      <w:pPr>
        <w:autoSpaceDE w:val="0"/>
        <w:autoSpaceDN w:val="0"/>
        <w:spacing w:before="176" w:after="154" w:line="332" w:lineRule="exact"/>
        <w:ind w:left="1440"/>
      </w:pPr>
      <w:r>
        <w:rPr>
          <w:rFonts w:ascii="TimesNewRomanPS" w:eastAsia="TimesNewRomanPS" w:hAnsi="TimesNewRomanPS"/>
          <w:b/>
          <w:color w:val="000000"/>
          <w:sz w:val="24"/>
        </w:rPr>
        <w:t xml:space="preserve">Finding #4-2: </w:t>
      </w:r>
    </w:p>
    <w:tbl>
      <w:tblPr>
        <w:tblW w:w="0" w:type="auto"/>
        <w:tblInd w:w="720" w:type="dxa"/>
        <w:tblLayout w:type="fixed"/>
        <w:tblLook w:val="04A0" w:firstRow="1" w:lastRow="0" w:firstColumn="1" w:lastColumn="0" w:noHBand="0" w:noVBand="1"/>
      </w:tblPr>
      <w:tblGrid>
        <w:gridCol w:w="940"/>
        <w:gridCol w:w="7720"/>
      </w:tblGrid>
      <w:tr w:rsidR="00EC557F">
        <w:trPr>
          <w:trHeight w:hRule="exact" w:val="994"/>
        </w:trPr>
        <w:tc>
          <w:tcPr>
            <w:tcW w:w="940" w:type="dxa"/>
            <w:tcMar>
              <w:left w:w="0" w:type="dxa"/>
              <w:right w:w="0" w:type="dxa"/>
            </w:tcMar>
          </w:tcPr>
          <w:p w:rsidR="00EC557F" w:rsidRDefault="00422FC7">
            <w:pPr>
              <w:autoSpaceDE w:val="0"/>
              <w:autoSpaceDN w:val="0"/>
              <w:spacing w:before="60" w:after="0" w:line="322" w:lineRule="exact"/>
              <w:ind w:right="136"/>
              <w:jc w:val="right"/>
            </w:pPr>
            <w:r>
              <w:rPr>
                <w:rFonts w:ascii="TimesNewRomanPSMT" w:eastAsia="TimesNewRomanPSMT" w:hAnsi="TimesNewRomanPSMT"/>
                <w:color w:val="000000"/>
                <w:sz w:val="24"/>
              </w:rPr>
              <w:t>•</w:t>
            </w:r>
          </w:p>
        </w:tc>
        <w:tc>
          <w:tcPr>
            <w:tcW w:w="7720" w:type="dxa"/>
            <w:tcMar>
              <w:left w:w="0" w:type="dxa"/>
              <w:right w:w="0" w:type="dxa"/>
            </w:tcMar>
          </w:tcPr>
          <w:p w:rsidR="00EC557F" w:rsidRDefault="00422FC7">
            <w:pPr>
              <w:autoSpaceDE w:val="0"/>
              <w:autoSpaceDN w:val="0"/>
              <w:spacing w:before="106" w:after="0" w:line="276" w:lineRule="exact"/>
              <w:ind w:left="140"/>
            </w:pPr>
            <w:r>
              <w:rPr>
                <w:rFonts w:ascii="TimesNewRomanPSMT" w:eastAsia="TimesNewRomanPSMT" w:hAnsi="TimesNewRomanPSMT"/>
                <w:color w:val="000000"/>
                <w:sz w:val="24"/>
              </w:rPr>
              <w:t xml:space="preserve">The acquisition workforce has been defined differently for DoD and for civilian agencies over the period of the acquisition reforms and the acquisition workforce cutbacks that have occurred in the last 15 years. </w:t>
            </w:r>
          </w:p>
        </w:tc>
      </w:tr>
    </w:tbl>
    <w:p w:rsidR="00EC557F" w:rsidRDefault="00422FC7">
      <w:pPr>
        <w:autoSpaceDE w:val="0"/>
        <w:autoSpaceDN w:val="0"/>
        <w:spacing w:before="452" w:after="154" w:line="332" w:lineRule="exact"/>
        <w:ind w:left="1440"/>
      </w:pPr>
      <w:r>
        <w:rPr>
          <w:rFonts w:ascii="TimesNewRomanPS" w:eastAsia="TimesNewRomanPS" w:hAnsi="TimesNewRomanPS"/>
          <w:b/>
          <w:color w:val="000000"/>
          <w:sz w:val="24"/>
        </w:rPr>
        <w:t xml:space="preserve">Finding #4-3: </w:t>
      </w:r>
    </w:p>
    <w:tbl>
      <w:tblPr>
        <w:tblW w:w="0" w:type="auto"/>
        <w:tblInd w:w="720" w:type="dxa"/>
        <w:tblLayout w:type="fixed"/>
        <w:tblLook w:val="04A0" w:firstRow="1" w:lastRow="0" w:firstColumn="1" w:lastColumn="0" w:noHBand="0" w:noVBand="1"/>
      </w:tblPr>
      <w:tblGrid>
        <w:gridCol w:w="940"/>
        <w:gridCol w:w="7640"/>
      </w:tblGrid>
      <w:tr w:rsidR="00EC557F">
        <w:trPr>
          <w:trHeight w:hRule="exact" w:val="1822"/>
        </w:trPr>
        <w:tc>
          <w:tcPr>
            <w:tcW w:w="940" w:type="dxa"/>
            <w:tcMar>
              <w:left w:w="0" w:type="dxa"/>
              <w:right w:w="0" w:type="dxa"/>
            </w:tcMar>
          </w:tcPr>
          <w:p w:rsidR="00EC557F" w:rsidRDefault="00422FC7">
            <w:pPr>
              <w:autoSpaceDE w:val="0"/>
              <w:autoSpaceDN w:val="0"/>
              <w:spacing w:before="60" w:after="0" w:line="322" w:lineRule="exact"/>
              <w:ind w:right="136"/>
              <w:jc w:val="right"/>
            </w:pPr>
            <w:r>
              <w:rPr>
                <w:rFonts w:ascii="TimesNewRomanPSMT" w:eastAsia="TimesNewRomanPSMT" w:hAnsi="TimesNewRomanPSMT"/>
                <w:color w:val="000000"/>
                <w:sz w:val="24"/>
              </w:rPr>
              <w:t>•</w:t>
            </w:r>
          </w:p>
        </w:tc>
        <w:tc>
          <w:tcPr>
            <w:tcW w:w="7640" w:type="dxa"/>
            <w:tcMar>
              <w:left w:w="0" w:type="dxa"/>
              <w:right w:w="0" w:type="dxa"/>
            </w:tcMar>
          </w:tcPr>
          <w:p w:rsidR="00EC557F" w:rsidRDefault="00422FC7">
            <w:pPr>
              <w:autoSpaceDE w:val="0"/>
              <w:autoSpaceDN w:val="0"/>
              <w:spacing w:before="106" w:after="0" w:line="276" w:lineRule="exact"/>
              <w:ind w:left="140"/>
            </w:pPr>
            <w:r>
              <w:rPr>
                <w:rFonts w:ascii="TimesNewRomanPSMT" w:eastAsia="TimesNewRomanPSMT" w:hAnsi="TimesNewRomanPSMT"/>
                <w:color w:val="000000"/>
                <w:sz w:val="24"/>
              </w:rPr>
              <w:t xml:space="preserve">A significant policy issue is presented as to how broadly to define the composition of the acquisition workforce—whether to include all of the functions that complement or support the acquisition function?  A broad definition is more consistent with modern understanding and commercial practices regarding the acquisition function, but risks overstating acquisition workforce resources. </w:t>
            </w:r>
          </w:p>
        </w:tc>
      </w:tr>
    </w:tbl>
    <w:p w:rsidR="00EC557F" w:rsidRDefault="00422FC7">
      <w:pPr>
        <w:autoSpaceDE w:val="0"/>
        <w:autoSpaceDN w:val="0"/>
        <w:spacing w:before="882" w:after="0" w:line="320" w:lineRule="exact"/>
        <w:ind w:right="46"/>
        <w:jc w:val="right"/>
      </w:pPr>
      <w:r>
        <w:rPr>
          <w:rFonts w:ascii="TimesNewRomanPSMT" w:eastAsia="TimesNewRomanPSMT" w:hAnsi="TimesNewRomanPSMT"/>
          <w:color w:val="000000"/>
          <w:sz w:val="24"/>
        </w:rPr>
        <w:t>3</w:t>
      </w:r>
    </w:p>
    <w:p w:rsidR="00EC557F" w:rsidRDefault="00EC557F">
      <w:pPr>
        <w:sectPr w:rsidR="00EC557F">
          <w:pgSz w:w="12240" w:h="15840"/>
          <w:pgMar w:top="704" w:right="1394" w:bottom="352" w:left="1440" w:header="720" w:footer="720" w:gutter="0"/>
          <w:cols w:space="720"/>
          <w:docGrid w:linePitch="360"/>
        </w:sectPr>
      </w:pPr>
    </w:p>
    <w:p w:rsidR="00EC557F" w:rsidRDefault="00EC557F">
      <w:pPr>
        <w:autoSpaceDE w:val="0"/>
        <w:autoSpaceDN w:val="0"/>
        <w:spacing w:after="486" w:line="220" w:lineRule="exact"/>
      </w:pPr>
    </w:p>
    <w:p w:rsidR="00EC557F" w:rsidRDefault="00422FC7">
      <w:pPr>
        <w:autoSpaceDE w:val="0"/>
        <w:autoSpaceDN w:val="0"/>
        <w:spacing w:after="0" w:line="334" w:lineRule="exact"/>
      </w:pPr>
      <w:r>
        <w:rPr>
          <w:rFonts w:ascii="TimesNewRomanPS" w:eastAsia="TimesNewRomanPS" w:hAnsi="TimesNewRomanPS"/>
          <w:b/>
          <w:color w:val="000000"/>
          <w:sz w:val="24"/>
        </w:rPr>
        <w:t xml:space="preserve">Finding #5: </w:t>
      </w:r>
    </w:p>
    <w:p w:rsidR="00EC557F" w:rsidRDefault="00422FC7">
      <w:pPr>
        <w:autoSpaceDE w:val="0"/>
        <w:autoSpaceDN w:val="0"/>
        <w:spacing w:before="258" w:after="0" w:line="276" w:lineRule="exact"/>
        <w:ind w:right="288"/>
      </w:pPr>
      <w:r>
        <w:rPr>
          <w:rFonts w:ascii="TimesNewRomanPSMT" w:eastAsia="TimesNewRomanPSMT" w:hAnsi="TimesNewRomanPSMT"/>
          <w:color w:val="000000"/>
          <w:sz w:val="24"/>
        </w:rPr>
        <w:t xml:space="preserve">The Federal Government does not have the capacity in its current acquisition workforce necessary to meet the demands that have been placed on it.  Because of the absence of human capital planning to date, the Panel cannot definitively conclude whether this is the result of a numbers problem, but has received testimony raising serious concerns about the number, skill sets, deployment, and role in the acquisition process of the acquisition workforce. </w:t>
      </w:r>
    </w:p>
    <w:p w:rsidR="00EC557F" w:rsidRDefault="00422FC7">
      <w:pPr>
        <w:tabs>
          <w:tab w:val="left" w:pos="720"/>
        </w:tabs>
        <w:autoSpaceDE w:val="0"/>
        <w:autoSpaceDN w:val="0"/>
        <w:spacing w:before="44" w:after="0" w:line="276" w:lineRule="exact"/>
        <w:ind w:left="360" w:right="144"/>
      </w:pP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There were substantial reductions in the acquisition workforce during the decade of the </w:t>
      </w:r>
      <w:r>
        <w:tab/>
      </w:r>
      <w:r>
        <w:rPr>
          <w:rFonts w:ascii="TimesNewRomanPSMT" w:eastAsia="TimesNewRomanPSMT" w:hAnsi="TimesNewRomanPSMT"/>
          <w:color w:val="000000"/>
          <w:sz w:val="24"/>
        </w:rPr>
        <w:t xml:space="preserve">1990s. </w:t>
      </w:r>
    </w:p>
    <w:p w:rsidR="00EC557F" w:rsidRDefault="00422FC7">
      <w:pPr>
        <w:tabs>
          <w:tab w:val="left" w:pos="720"/>
        </w:tabs>
        <w:autoSpaceDE w:val="0"/>
        <w:autoSpaceDN w:val="0"/>
        <w:spacing w:before="44" w:after="0" w:line="276" w:lineRule="exact"/>
        <w:ind w:left="360" w:right="144"/>
      </w:pP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One result of this is that hiring of new acquisition professionals virtually ceased during </w:t>
      </w:r>
      <w:r>
        <w:tab/>
      </w:r>
      <w:r>
        <w:rPr>
          <w:rFonts w:ascii="TimesNewRomanPSMT" w:eastAsia="TimesNewRomanPSMT" w:hAnsi="TimesNewRomanPSMT"/>
          <w:color w:val="000000"/>
          <w:sz w:val="24"/>
        </w:rPr>
        <w:t xml:space="preserve">this time period. </w:t>
      </w:r>
    </w:p>
    <w:p w:rsidR="00EC557F" w:rsidRDefault="00422FC7">
      <w:pPr>
        <w:autoSpaceDE w:val="0"/>
        <w:autoSpaceDN w:val="0"/>
        <w:spacing w:before="236" w:after="154" w:line="334" w:lineRule="exact"/>
        <w:ind w:left="1440"/>
      </w:pPr>
      <w:r>
        <w:rPr>
          <w:rFonts w:ascii="TimesNewRomanPS" w:eastAsia="TimesNewRomanPS" w:hAnsi="TimesNewRomanPS"/>
          <w:b/>
          <w:color w:val="000000"/>
          <w:sz w:val="24"/>
        </w:rPr>
        <w:t xml:space="preserve">Finding #5.1: </w:t>
      </w:r>
    </w:p>
    <w:tbl>
      <w:tblPr>
        <w:tblW w:w="0" w:type="auto"/>
        <w:tblInd w:w="720" w:type="dxa"/>
        <w:tblLayout w:type="fixed"/>
        <w:tblLook w:val="04A0" w:firstRow="1" w:lastRow="0" w:firstColumn="1" w:lastColumn="0" w:noHBand="0" w:noVBand="1"/>
      </w:tblPr>
      <w:tblGrid>
        <w:gridCol w:w="940"/>
        <w:gridCol w:w="7700"/>
      </w:tblGrid>
      <w:tr w:rsidR="00EC557F">
        <w:trPr>
          <w:trHeight w:hRule="exact" w:val="2648"/>
        </w:trPr>
        <w:tc>
          <w:tcPr>
            <w:tcW w:w="940" w:type="dxa"/>
            <w:tcMar>
              <w:left w:w="0" w:type="dxa"/>
              <w:right w:w="0" w:type="dxa"/>
            </w:tcMar>
          </w:tcPr>
          <w:p w:rsidR="00EC557F" w:rsidRDefault="00422FC7">
            <w:pPr>
              <w:autoSpaceDE w:val="0"/>
              <w:autoSpaceDN w:val="0"/>
              <w:spacing w:before="60" w:after="0" w:line="320" w:lineRule="exact"/>
              <w:ind w:right="136"/>
              <w:jc w:val="right"/>
            </w:pPr>
            <w:r>
              <w:rPr>
                <w:rFonts w:ascii="TimesNewRomanPSMT" w:eastAsia="TimesNewRomanPSMT" w:hAnsi="TimesNewRomanPSMT"/>
                <w:color w:val="000000"/>
                <w:sz w:val="24"/>
              </w:rPr>
              <w:t>•</w:t>
            </w:r>
          </w:p>
          <w:p w:rsidR="00EC557F" w:rsidRDefault="00422FC7">
            <w:pPr>
              <w:autoSpaceDE w:val="0"/>
              <w:autoSpaceDN w:val="0"/>
              <w:spacing w:before="508" w:after="0" w:line="320" w:lineRule="exact"/>
              <w:ind w:right="136"/>
              <w:jc w:val="right"/>
            </w:pPr>
            <w:r>
              <w:rPr>
                <w:rFonts w:ascii="TimesNewRomanPSMT" w:eastAsia="TimesNewRomanPSMT" w:hAnsi="TimesNewRomanPSMT"/>
                <w:color w:val="000000"/>
                <w:sz w:val="24"/>
              </w:rPr>
              <w:t>•</w:t>
            </w:r>
          </w:p>
          <w:p w:rsidR="00EC557F" w:rsidRDefault="00422FC7">
            <w:pPr>
              <w:autoSpaceDE w:val="0"/>
              <w:autoSpaceDN w:val="0"/>
              <w:spacing w:before="508" w:after="0" w:line="320" w:lineRule="exact"/>
              <w:ind w:right="136"/>
              <w:jc w:val="right"/>
            </w:pPr>
            <w:r>
              <w:rPr>
                <w:rFonts w:ascii="TimesNewRomanPSMT" w:eastAsia="TimesNewRomanPSMT" w:hAnsi="TimesNewRomanPSMT"/>
                <w:color w:val="000000"/>
                <w:sz w:val="24"/>
              </w:rPr>
              <w:t>•</w:t>
            </w:r>
          </w:p>
        </w:tc>
        <w:tc>
          <w:tcPr>
            <w:tcW w:w="770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There were cuts in some agency training budgets in the 1990’s that meant the existing workforce was not trained to adapt to the increasingly complex and demanding environment in which they were called upon to function. </w:t>
            </w:r>
          </w:p>
          <w:p w:rsidR="00EC557F" w:rsidRDefault="00422FC7">
            <w:pPr>
              <w:autoSpaceDE w:val="0"/>
              <w:autoSpaceDN w:val="0"/>
              <w:spacing w:before="44" w:after="0" w:line="276" w:lineRule="exact"/>
              <w:ind w:left="140"/>
            </w:pPr>
            <w:r>
              <w:rPr>
                <w:rFonts w:ascii="TimesNewRomanPSMT" w:eastAsia="TimesNewRomanPSMT" w:hAnsi="TimesNewRomanPSMT"/>
                <w:color w:val="000000"/>
                <w:sz w:val="24"/>
              </w:rPr>
              <w:t xml:space="preserve">Despite recent efforts to devote more attention and funding to workforce training, in many agencies these efforts do not appear to meet the existing and future needs for a trained acquisition workforce </w:t>
            </w:r>
            <w:r>
              <w:br/>
            </w:r>
            <w:r>
              <w:rPr>
                <w:rFonts w:ascii="TimesNewRomanPSMT" w:eastAsia="TimesNewRomanPSMT" w:hAnsi="TimesNewRomanPSMT"/>
                <w:color w:val="000000"/>
                <w:sz w:val="24"/>
              </w:rPr>
              <w:t xml:space="preserve">Since 1999 the size of the acquisition workforce has remained relatively stable, while the volume and complexity of federal contracting has </w:t>
            </w:r>
            <w:r>
              <w:br/>
            </w:r>
            <w:r>
              <w:rPr>
                <w:rFonts w:ascii="TimesNewRomanPSMT" w:eastAsia="TimesNewRomanPSMT" w:hAnsi="TimesNewRomanPSMT"/>
                <w:color w:val="000000"/>
                <w:sz w:val="24"/>
              </w:rPr>
              <w:t xml:space="preserve">mushroomed. </w:t>
            </w:r>
          </w:p>
        </w:tc>
      </w:tr>
    </w:tbl>
    <w:p w:rsidR="00EC557F" w:rsidRDefault="00422FC7">
      <w:pPr>
        <w:autoSpaceDE w:val="0"/>
        <w:autoSpaceDN w:val="0"/>
        <w:spacing w:before="176" w:after="152" w:line="334" w:lineRule="exact"/>
        <w:ind w:left="1440"/>
      </w:pPr>
      <w:r>
        <w:rPr>
          <w:rFonts w:ascii="TimesNewRomanPS" w:eastAsia="TimesNewRomanPS" w:hAnsi="TimesNewRomanPS"/>
          <w:b/>
          <w:color w:val="000000"/>
          <w:sz w:val="24"/>
        </w:rPr>
        <w:t xml:space="preserve">Finding #5-2: </w:t>
      </w:r>
    </w:p>
    <w:tbl>
      <w:tblPr>
        <w:tblW w:w="0" w:type="auto"/>
        <w:tblInd w:w="720" w:type="dxa"/>
        <w:tblLayout w:type="fixed"/>
        <w:tblLook w:val="04A0" w:firstRow="1" w:lastRow="0" w:firstColumn="1" w:lastColumn="0" w:noHBand="0" w:noVBand="1"/>
      </w:tblPr>
      <w:tblGrid>
        <w:gridCol w:w="940"/>
        <w:gridCol w:w="360"/>
        <w:gridCol w:w="7340"/>
      </w:tblGrid>
      <w:tr w:rsidR="00EC557F">
        <w:trPr>
          <w:trHeight w:hRule="exact" w:val="1598"/>
        </w:trPr>
        <w:tc>
          <w:tcPr>
            <w:tcW w:w="940" w:type="dxa"/>
            <w:vMerge w:val="restart"/>
            <w:tcMar>
              <w:left w:w="0" w:type="dxa"/>
              <w:right w:w="0" w:type="dxa"/>
            </w:tcMar>
          </w:tcPr>
          <w:p w:rsidR="00EC557F" w:rsidRDefault="00422FC7">
            <w:pPr>
              <w:autoSpaceDE w:val="0"/>
              <w:autoSpaceDN w:val="0"/>
              <w:spacing w:before="60" w:after="0" w:line="322" w:lineRule="exact"/>
              <w:ind w:right="136"/>
              <w:jc w:val="right"/>
            </w:pPr>
            <w:r>
              <w:rPr>
                <w:rFonts w:ascii="TimesNewRomanPSMT" w:eastAsia="TimesNewRomanPSMT" w:hAnsi="TimesNewRomanPSMT"/>
                <w:color w:val="000000"/>
                <w:sz w:val="24"/>
              </w:rPr>
              <w:t>•</w:t>
            </w:r>
          </w:p>
        </w:tc>
        <w:tc>
          <w:tcPr>
            <w:tcW w:w="7700" w:type="dxa"/>
            <w:gridSpan w:val="2"/>
            <w:tcMar>
              <w:left w:w="0" w:type="dxa"/>
              <w:right w:w="0" w:type="dxa"/>
            </w:tcMar>
          </w:tcPr>
          <w:p w:rsidR="00EC557F" w:rsidRDefault="00422FC7">
            <w:pPr>
              <w:autoSpaceDE w:val="0"/>
              <w:autoSpaceDN w:val="0"/>
              <w:spacing w:before="106" w:after="0" w:line="276" w:lineRule="exact"/>
              <w:ind w:left="140"/>
            </w:pPr>
            <w:r>
              <w:rPr>
                <w:rFonts w:ascii="TimesNewRomanPSMT" w:eastAsia="TimesNewRomanPSMT" w:hAnsi="TimesNewRomanPSMT"/>
                <w:color w:val="000000"/>
                <w:sz w:val="24"/>
              </w:rPr>
              <w:t xml:space="preserve">The drought in hiring, the inadequacy of training in some agencies, and the </w:t>
            </w:r>
            <w:r>
              <w:rPr>
                <w:rFonts w:ascii="TimesNewRomanPSMT" w:eastAsia="TimesNewRomanPSMT" w:hAnsi="TimesNewRomanPSMT"/>
                <w:color w:val="000000"/>
                <w:sz w:val="24"/>
              </w:rPr>
              <w:t xml:space="preserve">increased demand for contracting have together created a situation in which there is not, in the pipeline, a sufficient cadre of mature acquisition </w:t>
            </w:r>
            <w:r>
              <w:br/>
            </w:r>
            <w:r>
              <w:rPr>
                <w:rFonts w:ascii="TimesNewRomanPSMT" w:eastAsia="TimesNewRomanPSMT" w:hAnsi="TimesNewRomanPSMT"/>
                <w:color w:val="000000"/>
                <w:sz w:val="24"/>
              </w:rPr>
              <w:t xml:space="preserve">professionals who have the skills and the training to assume responsibility for procurement in today’s demanding environment. </w:t>
            </w:r>
          </w:p>
        </w:tc>
      </w:tr>
      <w:tr w:rsidR="00EC557F">
        <w:trPr>
          <w:trHeight w:hRule="exact" w:val="3812"/>
        </w:trPr>
        <w:tc>
          <w:tcPr>
            <w:tcW w:w="3129" w:type="dxa"/>
            <w:vMerge/>
          </w:tcPr>
          <w:p w:rsidR="00EC557F" w:rsidRDefault="00EC557F"/>
        </w:tc>
        <w:tc>
          <w:tcPr>
            <w:tcW w:w="360" w:type="dxa"/>
            <w:tcMar>
              <w:left w:w="0" w:type="dxa"/>
              <w:right w:w="0" w:type="dxa"/>
            </w:tcMar>
          </w:tcPr>
          <w:p w:rsidR="00EC557F" w:rsidRDefault="00422FC7">
            <w:pPr>
              <w:autoSpaceDE w:val="0"/>
              <w:autoSpaceDN w:val="0"/>
              <w:spacing w:before="118" w:after="0" w:line="322" w:lineRule="exact"/>
              <w:jc w:val="center"/>
            </w:pPr>
            <w:r>
              <w:rPr>
                <w:rFonts w:ascii="TimesNewRomanPSMT" w:eastAsia="TimesNewRomanPSMT" w:hAnsi="TimesNewRomanPSMT"/>
                <w:color w:val="000000"/>
                <w:sz w:val="24"/>
              </w:rPr>
              <w:t>-</w:t>
            </w:r>
          </w:p>
          <w:p w:rsidR="00EC557F" w:rsidRDefault="00422FC7">
            <w:pPr>
              <w:autoSpaceDE w:val="0"/>
              <w:autoSpaceDN w:val="0"/>
              <w:spacing w:before="276" w:after="0" w:line="552" w:lineRule="exact"/>
              <w:ind w:left="140" w:right="140"/>
              <w:jc w:val="both"/>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7340" w:type="dxa"/>
            <w:tcMar>
              <w:left w:w="0" w:type="dxa"/>
              <w:right w:w="0" w:type="dxa"/>
            </w:tcMar>
          </w:tcPr>
          <w:p w:rsidR="00EC557F" w:rsidRDefault="00422FC7">
            <w:pPr>
              <w:autoSpaceDE w:val="0"/>
              <w:autoSpaceDN w:val="0"/>
              <w:spacing w:before="164" w:after="0" w:line="276" w:lineRule="exact"/>
              <w:ind w:left="140"/>
            </w:pPr>
            <w:r>
              <w:rPr>
                <w:rFonts w:ascii="TimesNewRomanPSMT" w:eastAsia="TimesNewRomanPSMT" w:hAnsi="TimesNewRomanPSMT"/>
                <w:color w:val="000000"/>
                <w:sz w:val="24"/>
              </w:rPr>
              <w:t xml:space="preserve">Frequently described as a “bathtub” situation, there appears to be an acute shortage of procurement personnel with between 5 and 15 years of experience. </w:t>
            </w:r>
          </w:p>
          <w:p w:rsidR="00EC557F" w:rsidRDefault="00422FC7">
            <w:pPr>
              <w:autoSpaceDE w:val="0"/>
              <w:autoSpaceDN w:val="0"/>
              <w:spacing w:before="46" w:after="0" w:line="276" w:lineRule="exact"/>
              <w:ind w:left="140" w:right="432"/>
            </w:pPr>
            <w:r>
              <w:rPr>
                <w:rFonts w:ascii="TimesNewRomanPSMT" w:eastAsia="TimesNewRomanPSMT" w:hAnsi="TimesNewRomanPSMT"/>
                <w:color w:val="000000"/>
                <w:sz w:val="24"/>
              </w:rPr>
              <w:t xml:space="preserve">Moreover, the relative sufficiency of the senior end of the acquisition workforce, is seriously threatened by retirements. </w:t>
            </w:r>
          </w:p>
          <w:p w:rsidR="00EC557F" w:rsidRDefault="00422FC7">
            <w:pPr>
              <w:autoSpaceDE w:val="0"/>
              <w:autoSpaceDN w:val="0"/>
              <w:spacing w:before="46" w:after="0" w:line="276" w:lineRule="exact"/>
              <w:ind w:left="140"/>
            </w:pPr>
            <w:r>
              <w:rPr>
                <w:rFonts w:ascii="TimesNewRomanPSMT" w:eastAsia="TimesNewRomanPSMT" w:hAnsi="TimesNewRomanPSMT"/>
                <w:color w:val="000000"/>
                <w:sz w:val="24"/>
              </w:rPr>
              <w:t xml:space="preserve">A key challenge, accordingly, is to retain a high proportion of the senior workforce while development of the mid-level workforce goes forward. There is strong competition for a limited and shrinking pool of trained and skilled procurement professionals within the federal government. </w:t>
            </w:r>
          </w:p>
          <w:p w:rsidR="00EC557F" w:rsidRDefault="00422FC7">
            <w:pPr>
              <w:autoSpaceDE w:val="0"/>
              <w:autoSpaceDN w:val="0"/>
              <w:spacing w:before="46" w:after="0" w:line="276" w:lineRule="exact"/>
              <w:ind w:left="140"/>
            </w:pPr>
            <w:r>
              <w:rPr>
                <w:rFonts w:ascii="TimesNewRomanPSMT" w:eastAsia="TimesNewRomanPSMT" w:hAnsi="TimesNewRomanPSMT"/>
                <w:color w:val="000000"/>
                <w:sz w:val="24"/>
              </w:rPr>
              <w:t xml:space="preserve">This imbalance between supply and demand is exacerbated by the strong competition that the private sector offers the government in trying to recruit the shrinking pool of talented procurement professionals.   The government is losing this competition. </w:t>
            </w:r>
          </w:p>
        </w:tc>
      </w:tr>
    </w:tbl>
    <w:p w:rsidR="00EC557F" w:rsidRDefault="00422FC7">
      <w:pPr>
        <w:autoSpaceDE w:val="0"/>
        <w:autoSpaceDN w:val="0"/>
        <w:spacing w:before="882" w:after="0" w:line="320" w:lineRule="exact"/>
        <w:ind w:right="26"/>
        <w:jc w:val="right"/>
      </w:pPr>
      <w:r>
        <w:rPr>
          <w:rFonts w:ascii="TimesNewRomanPSMT" w:eastAsia="TimesNewRomanPSMT" w:hAnsi="TimesNewRomanPSMT"/>
          <w:color w:val="000000"/>
          <w:sz w:val="24"/>
        </w:rPr>
        <w:t>4</w:t>
      </w:r>
    </w:p>
    <w:p w:rsidR="00EC557F" w:rsidRDefault="00EC557F">
      <w:pPr>
        <w:sectPr w:rsidR="00EC557F">
          <w:pgSz w:w="12240" w:h="15840"/>
          <w:pgMar w:top="706" w:right="1414" w:bottom="352" w:left="1440" w:header="720" w:footer="720" w:gutter="0"/>
          <w:cols w:space="720"/>
          <w:docGrid w:linePitch="360"/>
        </w:sectPr>
      </w:pPr>
    </w:p>
    <w:p w:rsidR="00EC557F" w:rsidRDefault="00EC557F">
      <w:pPr>
        <w:autoSpaceDE w:val="0"/>
        <w:autoSpaceDN w:val="0"/>
        <w:spacing w:after="484" w:line="220" w:lineRule="exact"/>
      </w:pPr>
    </w:p>
    <w:tbl>
      <w:tblPr>
        <w:tblW w:w="0" w:type="auto"/>
        <w:tblInd w:w="900" w:type="dxa"/>
        <w:tblLayout w:type="fixed"/>
        <w:tblLook w:val="04A0" w:firstRow="1" w:lastRow="0" w:firstColumn="1" w:lastColumn="0" w:noHBand="0" w:noVBand="1"/>
      </w:tblPr>
      <w:tblGrid>
        <w:gridCol w:w="1120"/>
        <w:gridCol w:w="7380"/>
      </w:tblGrid>
      <w:tr w:rsidR="00EC557F">
        <w:trPr>
          <w:trHeight w:hRule="exact" w:val="2312"/>
        </w:trPr>
        <w:tc>
          <w:tcPr>
            <w:tcW w:w="1120" w:type="dxa"/>
            <w:tcMar>
              <w:left w:w="0" w:type="dxa"/>
              <w:right w:w="0" w:type="dxa"/>
            </w:tcMar>
          </w:tcPr>
          <w:p w:rsidR="00EC557F" w:rsidRDefault="00422FC7">
            <w:pPr>
              <w:autoSpaceDE w:val="0"/>
              <w:autoSpaceDN w:val="0"/>
              <w:spacing w:after="0" w:line="320" w:lineRule="exact"/>
              <w:ind w:right="140"/>
              <w:jc w:val="right"/>
            </w:pPr>
            <w:r>
              <w:rPr>
                <w:rFonts w:ascii="TimesNewRomanPSMT" w:eastAsia="TimesNewRomanPSMT" w:hAnsi="TimesNewRomanPSMT"/>
                <w:color w:val="000000"/>
                <w:sz w:val="24"/>
              </w:rPr>
              <w:t>-</w:t>
            </w:r>
          </w:p>
          <w:p w:rsidR="00EC557F" w:rsidRDefault="00422FC7">
            <w:pPr>
              <w:autoSpaceDE w:val="0"/>
              <w:autoSpaceDN w:val="0"/>
              <w:spacing w:before="1336" w:after="0" w:line="320" w:lineRule="exact"/>
              <w:ind w:right="140"/>
              <w:jc w:val="right"/>
            </w:pPr>
            <w:r>
              <w:rPr>
                <w:rFonts w:ascii="TimesNewRomanPSMT" w:eastAsia="TimesNewRomanPSMT" w:hAnsi="TimesNewRomanPSMT"/>
                <w:color w:val="000000"/>
                <w:sz w:val="24"/>
              </w:rPr>
              <w:t>-</w:t>
            </w:r>
          </w:p>
        </w:tc>
        <w:tc>
          <w:tcPr>
            <w:tcW w:w="7380" w:type="dxa"/>
            <w:tcMar>
              <w:left w:w="0" w:type="dxa"/>
              <w:right w:w="0" w:type="dxa"/>
            </w:tcMar>
          </w:tcPr>
          <w:p w:rsidR="00EC557F" w:rsidRDefault="00422FC7">
            <w:pPr>
              <w:autoSpaceDE w:val="0"/>
              <w:autoSpaceDN w:val="0"/>
              <w:spacing w:before="44" w:after="0" w:line="276" w:lineRule="exact"/>
              <w:ind w:left="140"/>
            </w:pPr>
            <w:r>
              <w:rPr>
                <w:rFonts w:ascii="TimesNewRomanPSMT" w:eastAsia="TimesNewRomanPSMT" w:hAnsi="TimesNewRomanPSMT"/>
                <w:color w:val="000000"/>
                <w:sz w:val="24"/>
              </w:rPr>
              <w:t xml:space="preserve">On the other hand, at least in major metropolitan areas, the government has not been able to compete very successfully for the services of talented procurement professionals who have been working within the private sector.  The government does not have a salary structure and career ladders that are likely to attract experienced procurement professionals from the private sectors. </w:t>
            </w:r>
          </w:p>
          <w:p w:rsidR="00EC557F" w:rsidRDefault="00422FC7">
            <w:pPr>
              <w:autoSpaceDE w:val="0"/>
              <w:autoSpaceDN w:val="0"/>
              <w:spacing w:before="44" w:after="0" w:line="276" w:lineRule="exact"/>
              <w:ind w:left="140"/>
            </w:pPr>
            <w:r>
              <w:rPr>
                <w:rFonts w:ascii="TimesNewRomanPSMT" w:eastAsia="TimesNewRomanPSMT" w:hAnsi="TimesNewRomanPSMT"/>
                <w:color w:val="000000"/>
                <w:sz w:val="24"/>
              </w:rPr>
              <w:t xml:space="preserve">The slowness of the government’s hiring process has also been an obstacle to hiring talented people for the acquisition workforce. </w:t>
            </w:r>
          </w:p>
        </w:tc>
      </w:tr>
    </w:tbl>
    <w:p w:rsidR="00EC557F" w:rsidRDefault="00422FC7">
      <w:pPr>
        <w:autoSpaceDE w:val="0"/>
        <w:autoSpaceDN w:val="0"/>
        <w:spacing w:before="452" w:after="154" w:line="334" w:lineRule="exact"/>
        <w:ind w:left="1440"/>
      </w:pPr>
      <w:r>
        <w:rPr>
          <w:rFonts w:ascii="TimesNewRomanPS" w:eastAsia="TimesNewRomanPS" w:hAnsi="TimesNewRomanPS"/>
          <w:b/>
          <w:color w:val="000000"/>
          <w:sz w:val="24"/>
        </w:rPr>
        <w:t>Finding #5-3:</w:t>
      </w:r>
    </w:p>
    <w:tbl>
      <w:tblPr>
        <w:tblW w:w="0" w:type="auto"/>
        <w:tblInd w:w="900" w:type="dxa"/>
        <w:tblLayout w:type="fixed"/>
        <w:tblLook w:val="04A0" w:firstRow="1" w:lastRow="0" w:firstColumn="1" w:lastColumn="0" w:noHBand="0" w:noVBand="1"/>
      </w:tblPr>
      <w:tblGrid>
        <w:gridCol w:w="1120"/>
        <w:gridCol w:w="7340"/>
      </w:tblGrid>
      <w:tr w:rsidR="00EC557F">
        <w:trPr>
          <w:trHeight w:hRule="exact" w:val="1268"/>
        </w:trPr>
        <w:tc>
          <w:tcPr>
            <w:tcW w:w="1120" w:type="dxa"/>
            <w:tcMar>
              <w:left w:w="0" w:type="dxa"/>
              <w:right w:w="0" w:type="dxa"/>
            </w:tcMar>
          </w:tcPr>
          <w:p w:rsidR="00EC557F" w:rsidRDefault="00422FC7">
            <w:pPr>
              <w:autoSpaceDE w:val="0"/>
              <w:autoSpaceDN w:val="0"/>
              <w:spacing w:before="60" w:after="0" w:line="320" w:lineRule="exact"/>
              <w:ind w:right="136"/>
              <w:jc w:val="right"/>
            </w:pPr>
            <w:r>
              <w:rPr>
                <w:rFonts w:ascii="TimesNewRomanPSMT" w:eastAsia="TimesNewRomanPSMT" w:hAnsi="TimesNewRomanPSMT"/>
                <w:color w:val="000000"/>
                <w:sz w:val="24"/>
              </w:rPr>
              <w:t>•</w:t>
            </w:r>
          </w:p>
        </w:tc>
        <w:tc>
          <w:tcPr>
            <w:tcW w:w="734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A widely noted result of the inadequacy of Acquisition Workforce </w:t>
            </w:r>
            <w:r>
              <w:br/>
            </w:r>
            <w:r>
              <w:rPr>
                <w:rFonts w:ascii="TimesNewRomanPSMT" w:eastAsia="TimesNewRomanPSMT" w:hAnsi="TimesNewRomanPSMT"/>
                <w:color w:val="000000"/>
                <w:sz w:val="24"/>
              </w:rPr>
              <w:t>personnel resources to meet the demands of procurement government-wide is that scarce resources have been skewed toward contract formation and away from contract management.</w:t>
            </w:r>
          </w:p>
        </w:tc>
      </w:tr>
    </w:tbl>
    <w:p w:rsidR="00EC557F" w:rsidRDefault="00422FC7">
      <w:pPr>
        <w:autoSpaceDE w:val="0"/>
        <w:autoSpaceDN w:val="0"/>
        <w:spacing w:before="176" w:after="154" w:line="334" w:lineRule="exact"/>
        <w:ind w:left="1440"/>
      </w:pPr>
      <w:r>
        <w:rPr>
          <w:rFonts w:ascii="TimesNewRomanPS" w:eastAsia="TimesNewRomanPS" w:hAnsi="TimesNewRomanPS"/>
          <w:b/>
          <w:color w:val="000000"/>
          <w:sz w:val="24"/>
        </w:rPr>
        <w:t>Finding #5-4:</w:t>
      </w:r>
    </w:p>
    <w:tbl>
      <w:tblPr>
        <w:tblW w:w="0" w:type="auto"/>
        <w:tblInd w:w="900" w:type="dxa"/>
        <w:tblLayout w:type="fixed"/>
        <w:tblLook w:val="04A0" w:firstRow="1" w:lastRow="0" w:firstColumn="1" w:lastColumn="0" w:noHBand="0" w:noVBand="1"/>
      </w:tblPr>
      <w:tblGrid>
        <w:gridCol w:w="1120"/>
        <w:gridCol w:w="7280"/>
      </w:tblGrid>
      <w:tr w:rsidR="00EC557F">
        <w:trPr>
          <w:trHeight w:hRule="exact" w:val="1268"/>
        </w:trPr>
        <w:tc>
          <w:tcPr>
            <w:tcW w:w="1120" w:type="dxa"/>
            <w:tcMar>
              <w:left w:w="0" w:type="dxa"/>
              <w:right w:w="0" w:type="dxa"/>
            </w:tcMar>
          </w:tcPr>
          <w:p w:rsidR="00EC557F" w:rsidRDefault="00422FC7">
            <w:pPr>
              <w:autoSpaceDE w:val="0"/>
              <w:autoSpaceDN w:val="0"/>
              <w:spacing w:before="60" w:after="0" w:line="320" w:lineRule="exact"/>
              <w:ind w:right="136"/>
              <w:jc w:val="right"/>
            </w:pPr>
            <w:r>
              <w:rPr>
                <w:rFonts w:ascii="TimesNewRomanPSMT" w:eastAsia="TimesNewRomanPSMT" w:hAnsi="TimesNewRomanPSMT"/>
                <w:color w:val="000000"/>
                <w:sz w:val="24"/>
              </w:rPr>
              <w:t>•</w:t>
            </w:r>
          </w:p>
        </w:tc>
        <w:tc>
          <w:tcPr>
            <w:tcW w:w="728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The Panel concludes that one important way to improve retention of qualified personnel within the federal acquisition workforce is to expand </w:t>
            </w:r>
            <w:r>
              <w:rPr>
                <w:rFonts w:ascii="TimesNewRomanPSMT" w:eastAsia="TimesNewRomanPSMT" w:hAnsi="TimesNewRomanPSMT"/>
                <w:color w:val="000000"/>
                <w:sz w:val="24"/>
              </w:rPr>
              <w:t xml:space="preserve">opportunities for such personnel to secure advancement by moving to different organizations within the federal government. </w:t>
            </w:r>
          </w:p>
        </w:tc>
      </w:tr>
    </w:tbl>
    <w:p w:rsidR="00EC557F" w:rsidRDefault="00422FC7">
      <w:pPr>
        <w:autoSpaceDE w:val="0"/>
        <w:autoSpaceDN w:val="0"/>
        <w:spacing w:before="176" w:after="152" w:line="334" w:lineRule="exact"/>
        <w:ind w:left="1440"/>
      </w:pPr>
      <w:r>
        <w:rPr>
          <w:rFonts w:ascii="TimesNewRomanPS" w:eastAsia="TimesNewRomanPS" w:hAnsi="TimesNewRomanPS"/>
          <w:b/>
          <w:color w:val="000000"/>
          <w:sz w:val="24"/>
        </w:rPr>
        <w:t xml:space="preserve">Finding #5-5: </w:t>
      </w:r>
    </w:p>
    <w:tbl>
      <w:tblPr>
        <w:tblW w:w="0" w:type="auto"/>
        <w:tblInd w:w="900" w:type="dxa"/>
        <w:tblLayout w:type="fixed"/>
        <w:tblLook w:val="04A0" w:firstRow="1" w:lastRow="0" w:firstColumn="1" w:lastColumn="0" w:noHBand="0" w:noVBand="1"/>
      </w:tblPr>
      <w:tblGrid>
        <w:gridCol w:w="1120"/>
        <w:gridCol w:w="7240"/>
      </w:tblGrid>
      <w:tr w:rsidR="00EC557F">
        <w:trPr>
          <w:trHeight w:hRule="exact" w:val="994"/>
        </w:trPr>
        <w:tc>
          <w:tcPr>
            <w:tcW w:w="1120" w:type="dxa"/>
            <w:tcMar>
              <w:left w:w="0" w:type="dxa"/>
              <w:right w:w="0" w:type="dxa"/>
            </w:tcMar>
          </w:tcPr>
          <w:p w:rsidR="00EC557F" w:rsidRDefault="00422FC7">
            <w:pPr>
              <w:autoSpaceDE w:val="0"/>
              <w:autoSpaceDN w:val="0"/>
              <w:spacing w:before="60" w:after="0" w:line="322" w:lineRule="exact"/>
              <w:ind w:right="136"/>
              <w:jc w:val="right"/>
            </w:pPr>
            <w:r>
              <w:rPr>
                <w:rFonts w:ascii="TimesNewRomanPSMT" w:eastAsia="TimesNewRomanPSMT" w:hAnsi="TimesNewRomanPSMT"/>
                <w:color w:val="000000"/>
                <w:sz w:val="24"/>
              </w:rPr>
              <w:t>•</w:t>
            </w:r>
          </w:p>
        </w:tc>
        <w:tc>
          <w:tcPr>
            <w:tcW w:w="7240" w:type="dxa"/>
            <w:tcMar>
              <w:left w:w="0" w:type="dxa"/>
              <w:right w:w="0" w:type="dxa"/>
            </w:tcMar>
          </w:tcPr>
          <w:p w:rsidR="00EC557F" w:rsidRDefault="00422FC7">
            <w:pPr>
              <w:autoSpaceDE w:val="0"/>
              <w:autoSpaceDN w:val="0"/>
              <w:spacing w:before="106" w:after="0" w:line="276" w:lineRule="exact"/>
              <w:ind w:left="140"/>
            </w:pPr>
            <w:r>
              <w:rPr>
                <w:rFonts w:ascii="TimesNewRomanPSMT" w:eastAsia="TimesNewRomanPSMT" w:hAnsi="TimesNewRomanPSMT"/>
                <w:color w:val="000000"/>
                <w:sz w:val="24"/>
              </w:rPr>
              <w:t xml:space="preserve">Inadequacy in the acquisition workforce is, ultimately, “penny wise and pound foolish,” as it seriously undermines the pursuit of good value for the expenditure of public resources. </w:t>
            </w:r>
          </w:p>
        </w:tc>
      </w:tr>
    </w:tbl>
    <w:p w:rsidR="00EC557F" w:rsidRDefault="00422FC7">
      <w:pPr>
        <w:autoSpaceDE w:val="0"/>
        <w:autoSpaceDN w:val="0"/>
        <w:spacing w:before="176" w:after="0" w:line="332" w:lineRule="exact"/>
      </w:pPr>
      <w:r>
        <w:rPr>
          <w:rFonts w:ascii="TimesNewRomanPS" w:eastAsia="TimesNewRomanPS" w:hAnsi="TimesNewRomanPS"/>
          <w:b/>
          <w:color w:val="000000"/>
          <w:sz w:val="24"/>
        </w:rPr>
        <w:t xml:space="preserve">Finding #6: </w:t>
      </w:r>
    </w:p>
    <w:p w:rsidR="00EC557F" w:rsidRDefault="00422FC7">
      <w:pPr>
        <w:autoSpaceDE w:val="0"/>
        <w:autoSpaceDN w:val="0"/>
        <w:spacing w:before="260" w:after="0" w:line="276" w:lineRule="exact"/>
      </w:pPr>
      <w:r>
        <w:rPr>
          <w:rFonts w:ascii="TimesNewRomanPSMT" w:eastAsia="TimesNewRomanPSMT" w:hAnsi="TimesNewRomanPSMT"/>
          <w:color w:val="000000"/>
          <w:sz w:val="24"/>
        </w:rPr>
        <w:t xml:space="preserve">Most federal agencies have not engaged systematically in human capital planning for the federal acquisition workforce.  Few agencies have systematically assessed their acquisition workforce in the present or for the future. </w:t>
      </w:r>
    </w:p>
    <w:p w:rsidR="00EC557F" w:rsidRDefault="00422FC7">
      <w:pPr>
        <w:autoSpaceDE w:val="0"/>
        <w:autoSpaceDN w:val="0"/>
        <w:spacing w:before="236" w:after="0" w:line="332" w:lineRule="exact"/>
      </w:pPr>
      <w:r>
        <w:rPr>
          <w:rFonts w:ascii="TimesNewRomanPS" w:eastAsia="TimesNewRomanPS" w:hAnsi="TimesNewRomanPS"/>
          <w:b/>
          <w:color w:val="000000"/>
          <w:sz w:val="24"/>
        </w:rPr>
        <w:t xml:space="preserve">Finding #7: </w:t>
      </w:r>
    </w:p>
    <w:p w:rsidR="00EC557F" w:rsidRDefault="00422FC7">
      <w:pPr>
        <w:autoSpaceDE w:val="0"/>
        <w:autoSpaceDN w:val="0"/>
        <w:spacing w:before="260" w:after="0" w:line="276" w:lineRule="exact"/>
      </w:pPr>
      <w:r>
        <w:rPr>
          <w:rFonts w:ascii="TimesNewRomanPSMT" w:eastAsia="TimesNewRomanPSMT" w:hAnsi="TimesNewRomanPSMT"/>
          <w:color w:val="000000"/>
          <w:sz w:val="24"/>
        </w:rPr>
        <w:t xml:space="preserve">Despite the variations in the way the acquisition workforce has been defined and counted over time and among agencies, no one is counting contractor personnel that are used to assist, support and augment the Acquisition Workforce. Thus we lack accurate information about the extent to which acquisition functions have been and are being carried out with the assistance of contractor personnel. </w:t>
      </w:r>
    </w:p>
    <w:p w:rsidR="00EC557F" w:rsidRDefault="00422FC7">
      <w:pPr>
        <w:autoSpaceDE w:val="0"/>
        <w:autoSpaceDN w:val="0"/>
        <w:spacing w:before="1494" w:after="0" w:line="320" w:lineRule="exact"/>
        <w:ind w:right="58"/>
        <w:jc w:val="right"/>
      </w:pPr>
      <w:r>
        <w:rPr>
          <w:rFonts w:ascii="TimesNewRomanPSMT" w:eastAsia="TimesNewRomanPSMT" w:hAnsi="TimesNewRomanPSMT"/>
          <w:color w:val="000000"/>
          <w:sz w:val="24"/>
        </w:rPr>
        <w:t>5</w:t>
      </w:r>
    </w:p>
    <w:p w:rsidR="00EC557F" w:rsidRDefault="00EC557F">
      <w:pPr>
        <w:sectPr w:rsidR="00EC557F">
          <w:pgSz w:w="12240" w:h="15840"/>
          <w:pgMar w:top="704" w:right="1382" w:bottom="352" w:left="1440" w:header="720" w:footer="720" w:gutter="0"/>
          <w:cols w:space="720"/>
          <w:docGrid w:linePitch="360"/>
        </w:sectPr>
      </w:pPr>
    </w:p>
    <w:p w:rsidR="00EC557F" w:rsidRDefault="00EC557F">
      <w:pPr>
        <w:autoSpaceDE w:val="0"/>
        <w:autoSpaceDN w:val="0"/>
        <w:spacing w:after="484" w:line="220" w:lineRule="exact"/>
      </w:pPr>
    </w:p>
    <w:tbl>
      <w:tblPr>
        <w:tblW w:w="0" w:type="auto"/>
        <w:tblInd w:w="180" w:type="dxa"/>
        <w:tblLayout w:type="fixed"/>
        <w:tblLook w:val="04A0" w:firstRow="1" w:lastRow="0" w:firstColumn="1" w:lastColumn="0" w:noHBand="0" w:noVBand="1"/>
      </w:tblPr>
      <w:tblGrid>
        <w:gridCol w:w="400"/>
        <w:gridCol w:w="8760"/>
      </w:tblGrid>
      <w:tr w:rsidR="00EC557F">
        <w:trPr>
          <w:trHeight w:hRule="exact" w:val="1484"/>
        </w:trPr>
        <w:tc>
          <w:tcPr>
            <w:tcW w:w="400" w:type="dxa"/>
            <w:tcMar>
              <w:left w:w="0" w:type="dxa"/>
              <w:right w:w="0" w:type="dxa"/>
            </w:tcMar>
          </w:tcPr>
          <w:p w:rsidR="00EC557F" w:rsidRDefault="00422FC7">
            <w:pPr>
              <w:autoSpaceDE w:val="0"/>
              <w:autoSpaceDN w:val="0"/>
              <w:spacing w:after="0" w:line="320" w:lineRule="exact"/>
              <w:jc w:val="center"/>
            </w:pPr>
            <w:r>
              <w:rPr>
                <w:rFonts w:ascii="TimesNewRomanPSMT" w:eastAsia="TimesNewRomanPSMT" w:hAnsi="TimesNewRomanPSMT"/>
                <w:color w:val="000000"/>
                <w:sz w:val="24"/>
              </w:rPr>
              <w:t>-</w:t>
            </w:r>
          </w:p>
          <w:p w:rsidR="00EC557F" w:rsidRDefault="00422FC7">
            <w:pPr>
              <w:autoSpaceDE w:val="0"/>
              <w:autoSpaceDN w:val="0"/>
              <w:spacing w:before="508" w:after="0" w:line="320" w:lineRule="exact"/>
              <w:jc w:val="center"/>
            </w:pPr>
            <w:r>
              <w:rPr>
                <w:rFonts w:ascii="TimesNewRomanPSMT" w:eastAsia="TimesNewRomanPSMT" w:hAnsi="TimesNewRomanPSMT"/>
                <w:color w:val="000000"/>
                <w:sz w:val="24"/>
              </w:rPr>
              <w:t>-</w:t>
            </w:r>
          </w:p>
        </w:tc>
        <w:tc>
          <w:tcPr>
            <w:tcW w:w="8760" w:type="dxa"/>
            <w:tcMar>
              <w:left w:w="0" w:type="dxa"/>
              <w:right w:w="0" w:type="dxa"/>
            </w:tcMar>
          </w:tcPr>
          <w:p w:rsidR="00EC557F" w:rsidRDefault="00422FC7">
            <w:pPr>
              <w:autoSpaceDE w:val="0"/>
              <w:autoSpaceDN w:val="0"/>
              <w:spacing w:before="44" w:after="0" w:line="276" w:lineRule="exact"/>
              <w:ind w:left="140"/>
            </w:pPr>
            <w:r>
              <w:rPr>
                <w:rFonts w:ascii="TimesNewRomanPSMT" w:eastAsia="TimesNewRomanPSMT" w:hAnsi="TimesNewRomanPSMT"/>
                <w:color w:val="000000"/>
                <w:sz w:val="24"/>
              </w:rPr>
              <w:t xml:space="preserve">Evidence before the panel and the experience of panel members nonetheless makes clear </w:t>
            </w:r>
            <w:r>
              <w:rPr>
                <w:rFonts w:ascii="TimesNewRomanPSMT" w:eastAsia="TimesNewRomanPSMT" w:hAnsi="TimesNewRomanPSMT"/>
                <w:color w:val="000000"/>
                <w:sz w:val="24"/>
              </w:rPr>
              <w:t xml:space="preserve">that many agencies make substantial use of contractor resources to carry out their acquisition functions. </w:t>
            </w:r>
          </w:p>
          <w:p w:rsidR="00EC557F" w:rsidRDefault="00422FC7">
            <w:pPr>
              <w:autoSpaceDE w:val="0"/>
              <w:autoSpaceDN w:val="0"/>
              <w:spacing w:before="44" w:after="0" w:line="276" w:lineRule="exact"/>
              <w:ind w:left="140" w:right="720"/>
            </w:pPr>
            <w:r>
              <w:rPr>
                <w:rFonts w:ascii="TimesNewRomanPSMT" w:eastAsia="TimesNewRomanPSMT" w:hAnsi="TimesNewRomanPSMT"/>
                <w:color w:val="000000"/>
                <w:sz w:val="24"/>
              </w:rPr>
              <w:t xml:space="preserve">We also lack information with which to determine whether reliance on contractor personnel is saving money. </w:t>
            </w:r>
          </w:p>
        </w:tc>
      </w:tr>
    </w:tbl>
    <w:p w:rsidR="00EC557F" w:rsidRDefault="00422FC7">
      <w:pPr>
        <w:autoSpaceDE w:val="0"/>
        <w:autoSpaceDN w:val="0"/>
        <w:spacing w:before="176" w:after="0" w:line="334" w:lineRule="exact"/>
      </w:pPr>
      <w:r>
        <w:rPr>
          <w:rFonts w:ascii="TimesNewRomanPS" w:eastAsia="TimesNewRomanPS" w:hAnsi="TimesNewRomanPS"/>
          <w:b/>
          <w:color w:val="000000"/>
          <w:sz w:val="24"/>
        </w:rPr>
        <w:t xml:space="preserve">Finding #8: </w:t>
      </w:r>
    </w:p>
    <w:p w:rsidR="00EC557F" w:rsidRDefault="00422FC7">
      <w:pPr>
        <w:autoSpaceDE w:val="0"/>
        <w:autoSpaceDN w:val="0"/>
        <w:spacing w:before="258" w:after="0" w:line="276" w:lineRule="exact"/>
      </w:pPr>
      <w:r>
        <w:rPr>
          <w:rFonts w:ascii="TimesNewRomanPSMT" w:eastAsia="TimesNewRomanPSMT" w:hAnsi="TimesNewRomanPSMT"/>
          <w:color w:val="000000"/>
          <w:sz w:val="24"/>
        </w:rPr>
        <w:t xml:space="preserve">Use of contractor support for acquisition activities may be appropriate, but careful attention must be paid to the potential for organizational conflicts of interest that may be engendered by this practice. </w:t>
      </w:r>
    </w:p>
    <w:p w:rsidR="00EC557F" w:rsidRDefault="00422FC7">
      <w:pPr>
        <w:autoSpaceDE w:val="0"/>
        <w:autoSpaceDN w:val="0"/>
        <w:spacing w:before="236" w:after="154" w:line="334" w:lineRule="exact"/>
        <w:ind w:left="1440"/>
      </w:pPr>
      <w:r>
        <w:rPr>
          <w:rFonts w:ascii="TimesNewRomanPS" w:eastAsia="TimesNewRomanPS" w:hAnsi="TimesNewRomanPS"/>
          <w:b/>
          <w:color w:val="000000"/>
          <w:sz w:val="24"/>
        </w:rPr>
        <w:t xml:space="preserve">Finding #9-1 </w:t>
      </w:r>
    </w:p>
    <w:tbl>
      <w:tblPr>
        <w:tblW w:w="0" w:type="auto"/>
        <w:tblInd w:w="900" w:type="dxa"/>
        <w:tblLayout w:type="fixed"/>
        <w:tblLook w:val="04A0" w:firstRow="1" w:lastRow="0" w:firstColumn="1" w:lastColumn="0" w:noHBand="0" w:noVBand="1"/>
      </w:tblPr>
      <w:tblGrid>
        <w:gridCol w:w="1120"/>
        <w:gridCol w:w="7300"/>
      </w:tblGrid>
      <w:tr w:rsidR="00EC557F">
        <w:trPr>
          <w:trHeight w:hRule="exact" w:val="1544"/>
        </w:trPr>
        <w:tc>
          <w:tcPr>
            <w:tcW w:w="1120" w:type="dxa"/>
            <w:tcMar>
              <w:left w:w="0" w:type="dxa"/>
              <w:right w:w="0" w:type="dxa"/>
            </w:tcMar>
          </w:tcPr>
          <w:p w:rsidR="00EC557F" w:rsidRDefault="00422FC7">
            <w:pPr>
              <w:autoSpaceDE w:val="0"/>
              <w:autoSpaceDN w:val="0"/>
              <w:spacing w:before="60" w:after="0" w:line="320" w:lineRule="exact"/>
              <w:ind w:right="136"/>
              <w:jc w:val="right"/>
            </w:pPr>
            <w:r>
              <w:rPr>
                <w:rFonts w:ascii="TimesNewRomanPSMT" w:eastAsia="TimesNewRomanPSMT" w:hAnsi="TimesNewRomanPSMT"/>
                <w:color w:val="000000"/>
                <w:sz w:val="24"/>
              </w:rPr>
              <w:t>•</w:t>
            </w:r>
          </w:p>
        </w:tc>
        <w:tc>
          <w:tcPr>
            <w:tcW w:w="730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Testimony before the Acquisition Advisory Panel by leaders of private sector organizations indicates that sophisticated private sector </w:t>
            </w:r>
            <w:r>
              <w:br/>
            </w:r>
            <w:r>
              <w:rPr>
                <w:rFonts w:ascii="TimesNewRomanPSMT" w:eastAsia="TimesNewRomanPSMT" w:hAnsi="TimesNewRomanPSMT"/>
                <w:color w:val="000000"/>
                <w:sz w:val="24"/>
              </w:rPr>
              <w:t xml:space="preserve">organizations employ a corps of highly sophisticated, highly credentialed and highly trained business managers to carry out the sourcing, </w:t>
            </w:r>
            <w:r>
              <w:br/>
            </w:r>
            <w:r>
              <w:rPr>
                <w:rFonts w:ascii="TimesNewRomanPSMT" w:eastAsia="TimesNewRomanPSMT" w:hAnsi="TimesNewRomanPSMT"/>
                <w:color w:val="000000"/>
                <w:sz w:val="24"/>
              </w:rPr>
              <w:t xml:space="preserve">procurement and contract management functions that they undertake. </w:t>
            </w:r>
          </w:p>
        </w:tc>
      </w:tr>
    </w:tbl>
    <w:p w:rsidR="00EC557F" w:rsidRDefault="00422FC7">
      <w:pPr>
        <w:autoSpaceDE w:val="0"/>
        <w:autoSpaceDN w:val="0"/>
        <w:spacing w:before="176" w:after="154" w:line="334" w:lineRule="exact"/>
        <w:ind w:left="1440"/>
      </w:pPr>
      <w:r>
        <w:rPr>
          <w:rFonts w:ascii="TimesNewRomanPS" w:eastAsia="TimesNewRomanPS" w:hAnsi="TimesNewRomanPS"/>
          <w:b/>
          <w:color w:val="000000"/>
          <w:sz w:val="24"/>
        </w:rPr>
        <w:t xml:space="preserve">Finding #9-2: </w:t>
      </w:r>
    </w:p>
    <w:tbl>
      <w:tblPr>
        <w:tblW w:w="0" w:type="auto"/>
        <w:tblInd w:w="900" w:type="dxa"/>
        <w:tblLayout w:type="fixed"/>
        <w:tblLook w:val="04A0" w:firstRow="1" w:lastRow="0" w:firstColumn="1" w:lastColumn="0" w:noHBand="0" w:noVBand="1"/>
      </w:tblPr>
      <w:tblGrid>
        <w:gridCol w:w="1120"/>
        <w:gridCol w:w="7380"/>
      </w:tblGrid>
      <w:tr w:rsidR="00EC557F">
        <w:trPr>
          <w:trHeight w:hRule="exact" w:val="3200"/>
        </w:trPr>
        <w:tc>
          <w:tcPr>
            <w:tcW w:w="1120" w:type="dxa"/>
            <w:tcMar>
              <w:left w:w="0" w:type="dxa"/>
              <w:right w:w="0" w:type="dxa"/>
            </w:tcMar>
          </w:tcPr>
          <w:p w:rsidR="00EC557F" w:rsidRDefault="00422FC7">
            <w:pPr>
              <w:autoSpaceDE w:val="0"/>
              <w:autoSpaceDN w:val="0"/>
              <w:spacing w:before="60" w:after="0" w:line="320" w:lineRule="exact"/>
              <w:ind w:right="136"/>
              <w:jc w:val="right"/>
            </w:pPr>
            <w:r>
              <w:rPr>
                <w:rFonts w:ascii="TimesNewRomanPSMT" w:eastAsia="TimesNewRomanPSMT" w:hAnsi="TimesNewRomanPSMT"/>
                <w:color w:val="000000"/>
                <w:sz w:val="24"/>
              </w:rPr>
              <w:t>•</w:t>
            </w:r>
          </w:p>
        </w:tc>
        <w:tc>
          <w:tcPr>
            <w:tcW w:w="738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The government lacks comparable resources for these functions.  If we expect the government to take advantage of the practices of successful commercial organizations, we need to close this gap by recruiting, training and retaining sufficient procurement professionals with appropriate capability. </w:t>
            </w:r>
          </w:p>
          <w:p w:rsidR="00EC557F" w:rsidRDefault="00422FC7">
            <w:pPr>
              <w:tabs>
                <w:tab w:val="left" w:pos="500"/>
              </w:tabs>
              <w:autoSpaceDE w:val="0"/>
              <w:autoSpaceDN w:val="0"/>
              <w:spacing w:before="46" w:after="0" w:line="276" w:lineRule="exact"/>
              <w:ind w:left="140"/>
            </w:pP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For successful modern businesses, the acquisition function is regarded </w:t>
            </w:r>
            <w:r>
              <w:tab/>
            </w:r>
            <w:r>
              <w:rPr>
                <w:rFonts w:ascii="TimesNewRomanPSMT" w:eastAsia="TimesNewRomanPSMT" w:hAnsi="TimesNewRomanPSMT"/>
                <w:color w:val="000000"/>
                <w:sz w:val="24"/>
              </w:rPr>
              <w:t xml:space="preserve">as a key contributor to the bottom line.  Investment in a state-of-the-art </w:t>
            </w:r>
            <w:r>
              <w:tab/>
            </w:r>
            <w:r>
              <w:rPr>
                <w:rFonts w:ascii="TimesNewRomanPSMT" w:eastAsia="TimesNewRomanPSMT" w:hAnsi="TimesNewRomanPSMT"/>
                <w:color w:val="000000"/>
                <w:sz w:val="24"/>
              </w:rPr>
              <w:t xml:space="preserve">acquisition workforce is essential to profitability. </w:t>
            </w:r>
          </w:p>
          <w:p w:rsidR="00EC557F" w:rsidRDefault="00422FC7">
            <w:pPr>
              <w:tabs>
                <w:tab w:val="left" w:pos="500"/>
              </w:tabs>
              <w:autoSpaceDE w:val="0"/>
              <w:autoSpaceDN w:val="0"/>
              <w:spacing w:before="46" w:after="0" w:line="276" w:lineRule="exact"/>
              <w:ind w:left="140"/>
            </w:pP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Similarly, investment in a quality federal acquisition workforce is </w:t>
            </w:r>
            <w:r>
              <w:tab/>
            </w:r>
            <w:r>
              <w:rPr>
                <w:rFonts w:ascii="TimesNewRomanPSMT" w:eastAsia="TimesNewRomanPSMT" w:hAnsi="TimesNewRomanPSMT"/>
                <w:color w:val="000000"/>
                <w:sz w:val="24"/>
              </w:rPr>
              <w:t xml:space="preserve">critical to mission success and obtaining best value for the expenditure </w:t>
            </w:r>
            <w:r>
              <w:tab/>
            </w:r>
            <w:r>
              <w:rPr>
                <w:rFonts w:ascii="TimesNewRomanPSMT" w:eastAsia="TimesNewRomanPSMT" w:hAnsi="TimesNewRomanPSMT"/>
                <w:color w:val="000000"/>
                <w:sz w:val="24"/>
              </w:rPr>
              <w:t xml:space="preserve">of public resources. </w:t>
            </w:r>
          </w:p>
        </w:tc>
      </w:tr>
    </w:tbl>
    <w:p w:rsidR="00EC557F" w:rsidRDefault="00422FC7">
      <w:pPr>
        <w:autoSpaceDE w:val="0"/>
        <w:autoSpaceDN w:val="0"/>
        <w:spacing w:before="452" w:after="0" w:line="332" w:lineRule="exact"/>
      </w:pPr>
      <w:r>
        <w:rPr>
          <w:rFonts w:ascii="TimesNewRomanPS" w:eastAsia="TimesNewRomanPS" w:hAnsi="TimesNewRomanPS"/>
          <w:b/>
          <w:color w:val="000000"/>
          <w:sz w:val="24"/>
        </w:rPr>
        <w:t xml:space="preserve">Finding #10: </w:t>
      </w:r>
    </w:p>
    <w:p w:rsidR="00EC557F" w:rsidRDefault="00422FC7">
      <w:pPr>
        <w:autoSpaceDE w:val="0"/>
        <w:autoSpaceDN w:val="0"/>
        <w:spacing w:before="260" w:after="170" w:line="276" w:lineRule="exact"/>
      </w:pPr>
      <w:r>
        <w:rPr>
          <w:rFonts w:ascii="TimesNewRomanPSMT" w:eastAsia="TimesNewRomanPSMT" w:hAnsi="TimesNewRomanPSMT"/>
          <w:color w:val="000000"/>
          <w:sz w:val="24"/>
        </w:rPr>
        <w:t xml:space="preserve">The pace of acquisition reform initiatives has outstripped the ability of the federal acquisition workforce to assimilate and master their requirements so as to implement these initiatives in an optimal fashion. An important objective of Acquisition Workforce initiatives should be to allow the Workforce to catch up with the last twelve years of acquisition reform, as well as to meet additional demands that will be imposed by the recommendations of this panel on non-workforce topics. </w:t>
      </w:r>
    </w:p>
    <w:tbl>
      <w:tblPr>
        <w:tblW w:w="0" w:type="auto"/>
        <w:tblInd w:w="180" w:type="dxa"/>
        <w:tblLayout w:type="fixed"/>
        <w:tblLook w:val="04A0" w:firstRow="1" w:lastRow="0" w:firstColumn="1" w:lastColumn="0" w:noHBand="0" w:noVBand="1"/>
      </w:tblPr>
      <w:tblGrid>
        <w:gridCol w:w="400"/>
        <w:gridCol w:w="8820"/>
      </w:tblGrid>
      <w:tr w:rsidR="00EC557F">
        <w:trPr>
          <w:trHeight w:hRule="exact" w:val="718"/>
        </w:trPr>
        <w:tc>
          <w:tcPr>
            <w:tcW w:w="400" w:type="dxa"/>
            <w:tcMar>
              <w:left w:w="0" w:type="dxa"/>
              <w:right w:w="0" w:type="dxa"/>
            </w:tcMar>
          </w:tcPr>
          <w:p w:rsidR="00EC557F" w:rsidRDefault="00422FC7">
            <w:pPr>
              <w:autoSpaceDE w:val="0"/>
              <w:autoSpaceDN w:val="0"/>
              <w:spacing w:before="60" w:after="0" w:line="322" w:lineRule="exact"/>
              <w:jc w:val="center"/>
            </w:pPr>
            <w:r>
              <w:rPr>
                <w:rFonts w:ascii="TimesNewRomanPSMT" w:eastAsia="TimesNewRomanPSMT" w:hAnsi="TimesNewRomanPSMT"/>
                <w:color w:val="000000"/>
                <w:sz w:val="24"/>
              </w:rPr>
              <w:t>-</w:t>
            </w:r>
          </w:p>
        </w:tc>
        <w:tc>
          <w:tcPr>
            <w:tcW w:w="8820" w:type="dxa"/>
            <w:tcMar>
              <w:left w:w="0" w:type="dxa"/>
              <w:right w:w="0" w:type="dxa"/>
            </w:tcMar>
          </w:tcPr>
          <w:p w:rsidR="00EC557F" w:rsidRDefault="00422FC7">
            <w:pPr>
              <w:autoSpaceDE w:val="0"/>
              <w:autoSpaceDN w:val="0"/>
              <w:spacing w:before="106" w:after="0" w:line="276" w:lineRule="exact"/>
              <w:ind w:left="140"/>
            </w:pPr>
            <w:r>
              <w:rPr>
                <w:rFonts w:ascii="TimesNewRomanPSMT" w:eastAsia="TimesNewRomanPSMT" w:hAnsi="TimesNewRomanPSMT"/>
                <w:color w:val="000000"/>
                <w:sz w:val="24"/>
              </w:rPr>
              <w:t xml:space="preserve">Insisting that the acquisition workforce be enabled to catch up with the demands of the procurement workload and the transformed demands of procurement reform is not hostile </w:t>
            </w:r>
          </w:p>
        </w:tc>
      </w:tr>
    </w:tbl>
    <w:p w:rsidR="00EC557F" w:rsidRDefault="00422FC7">
      <w:pPr>
        <w:autoSpaceDE w:val="0"/>
        <w:autoSpaceDN w:val="0"/>
        <w:spacing w:before="606" w:after="0" w:line="320" w:lineRule="exact"/>
        <w:ind w:right="60"/>
        <w:jc w:val="right"/>
      </w:pPr>
      <w:r>
        <w:rPr>
          <w:rFonts w:ascii="TimesNewRomanPSMT" w:eastAsia="TimesNewRomanPSMT" w:hAnsi="TimesNewRomanPSMT"/>
          <w:color w:val="000000"/>
          <w:sz w:val="24"/>
        </w:rPr>
        <w:t>6</w:t>
      </w:r>
    </w:p>
    <w:p w:rsidR="00EC557F" w:rsidRDefault="00EC557F">
      <w:pPr>
        <w:sectPr w:rsidR="00EC557F">
          <w:pgSz w:w="12240" w:h="15840"/>
          <w:pgMar w:top="704" w:right="1380" w:bottom="352" w:left="1440" w:header="720" w:footer="720" w:gutter="0"/>
          <w:cols w:space="720"/>
          <w:docGrid w:linePitch="360"/>
        </w:sectPr>
      </w:pPr>
    </w:p>
    <w:p w:rsidR="00EC557F" w:rsidRDefault="00EC557F">
      <w:pPr>
        <w:autoSpaceDE w:val="0"/>
        <w:autoSpaceDN w:val="0"/>
        <w:spacing w:after="484" w:line="220" w:lineRule="exact"/>
      </w:pPr>
    </w:p>
    <w:tbl>
      <w:tblPr>
        <w:tblW w:w="0" w:type="auto"/>
        <w:tblInd w:w="180" w:type="dxa"/>
        <w:tblLayout w:type="fixed"/>
        <w:tblLook w:val="04A0" w:firstRow="1" w:lastRow="0" w:firstColumn="1" w:lastColumn="0" w:noHBand="0" w:noVBand="1"/>
      </w:tblPr>
      <w:tblGrid>
        <w:gridCol w:w="400"/>
        <w:gridCol w:w="8660"/>
      </w:tblGrid>
      <w:tr w:rsidR="00EC557F">
        <w:trPr>
          <w:trHeight w:hRule="exact" w:val="1208"/>
        </w:trPr>
        <w:tc>
          <w:tcPr>
            <w:tcW w:w="400" w:type="dxa"/>
            <w:tcMar>
              <w:left w:w="0" w:type="dxa"/>
              <w:right w:w="0" w:type="dxa"/>
            </w:tcMar>
          </w:tcPr>
          <w:p w:rsidR="00EC557F" w:rsidRDefault="00422FC7">
            <w:pPr>
              <w:autoSpaceDE w:val="0"/>
              <w:autoSpaceDN w:val="0"/>
              <w:spacing w:before="552" w:after="0" w:line="320" w:lineRule="exact"/>
              <w:jc w:val="center"/>
            </w:pPr>
            <w:r>
              <w:rPr>
                <w:rFonts w:ascii="TimesNewRomanPSMT" w:eastAsia="TimesNewRomanPSMT" w:hAnsi="TimesNewRomanPSMT"/>
                <w:color w:val="000000"/>
                <w:sz w:val="24"/>
              </w:rPr>
              <w:t>-</w:t>
            </w:r>
          </w:p>
        </w:tc>
        <w:tc>
          <w:tcPr>
            <w:tcW w:w="8660" w:type="dxa"/>
            <w:tcMar>
              <w:left w:w="0" w:type="dxa"/>
              <w:right w:w="0" w:type="dxa"/>
            </w:tcMar>
          </w:tcPr>
          <w:p w:rsidR="00EC557F" w:rsidRDefault="00422FC7">
            <w:pPr>
              <w:autoSpaceDE w:val="0"/>
              <w:autoSpaceDN w:val="0"/>
              <w:spacing w:before="44" w:after="0" w:line="276" w:lineRule="exact"/>
              <w:ind w:left="140" w:right="720"/>
            </w:pPr>
            <w:r>
              <w:rPr>
                <w:rFonts w:ascii="TimesNewRomanPSMT" w:eastAsia="TimesNewRomanPSMT" w:hAnsi="TimesNewRomanPSMT"/>
                <w:color w:val="000000"/>
                <w:sz w:val="24"/>
              </w:rPr>
              <w:t xml:space="preserve">to the cause of procurement reform.  Rather, it is an essential step in attempting consistently to achieve good value for the expenditure of public resources. </w:t>
            </w:r>
          </w:p>
          <w:p w:rsidR="00EC557F" w:rsidRDefault="00422FC7">
            <w:pPr>
              <w:autoSpaceDE w:val="0"/>
              <w:autoSpaceDN w:val="0"/>
              <w:spacing w:before="44" w:after="0" w:line="276" w:lineRule="exact"/>
              <w:ind w:left="140"/>
            </w:pPr>
            <w:r>
              <w:rPr>
                <w:rFonts w:ascii="TimesNewRomanPSMT" w:eastAsia="TimesNewRomanPSMT" w:hAnsi="TimesNewRomanPSMT"/>
                <w:color w:val="000000"/>
                <w:sz w:val="24"/>
              </w:rPr>
              <w:t xml:space="preserve">Investment in the acquisition workforce should therefore yield an extremely rewarding return on that investment. </w:t>
            </w:r>
          </w:p>
        </w:tc>
      </w:tr>
    </w:tbl>
    <w:p w:rsidR="00EC557F" w:rsidRDefault="00422FC7">
      <w:pPr>
        <w:autoSpaceDE w:val="0"/>
        <w:autoSpaceDN w:val="0"/>
        <w:spacing w:before="194" w:after="0" w:line="310" w:lineRule="exact"/>
        <w:ind w:left="360"/>
      </w:pPr>
      <w:r>
        <w:rPr>
          <w:rFonts w:ascii="TimesNewRomanPS" w:eastAsia="TimesNewRomanPS" w:hAnsi="TimesNewRomanPS"/>
          <w:b/>
          <w:i/>
          <w:color w:val="000000"/>
          <w:sz w:val="24"/>
          <w:u w:val="single"/>
        </w:rPr>
        <w:t>RECOMMENDTIONS</w:t>
      </w:r>
      <w:r>
        <w:rPr>
          <w:rFonts w:ascii="TimesNewRomanPS" w:eastAsia="TimesNewRomanPS" w:hAnsi="TimesNewRomanPS"/>
          <w:b/>
          <w:i/>
          <w:color w:val="000000"/>
          <w:sz w:val="24"/>
        </w:rPr>
        <w:t xml:space="preserve"> </w:t>
      </w:r>
    </w:p>
    <w:p w:rsidR="00EC557F" w:rsidRDefault="00422FC7">
      <w:pPr>
        <w:autoSpaceDE w:val="0"/>
        <w:autoSpaceDN w:val="0"/>
        <w:spacing w:before="224" w:after="154" w:line="334" w:lineRule="exact"/>
        <w:ind w:left="360"/>
      </w:pPr>
      <w:r>
        <w:rPr>
          <w:rFonts w:ascii="TimesNewRomanPS" w:eastAsia="TimesNewRomanPS" w:hAnsi="TimesNewRomanPS"/>
          <w:b/>
          <w:color w:val="000000"/>
          <w:sz w:val="24"/>
        </w:rPr>
        <w:t xml:space="preserve">Recommendation #1-1: Data Collection and Workforce Definition </w:t>
      </w:r>
    </w:p>
    <w:tbl>
      <w:tblPr>
        <w:tblW w:w="0" w:type="auto"/>
        <w:tblInd w:w="180" w:type="dxa"/>
        <w:tblLayout w:type="fixed"/>
        <w:tblLook w:val="04A0" w:firstRow="1" w:lastRow="0" w:firstColumn="1" w:lastColumn="0" w:noHBand="0" w:noVBand="1"/>
      </w:tblPr>
      <w:tblGrid>
        <w:gridCol w:w="400"/>
        <w:gridCol w:w="8760"/>
      </w:tblGrid>
      <w:tr w:rsidR="00EC557F">
        <w:trPr>
          <w:trHeight w:hRule="exact" w:val="1820"/>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p w:rsidR="00EC557F" w:rsidRDefault="00422FC7">
            <w:pPr>
              <w:autoSpaceDE w:val="0"/>
              <w:autoSpaceDN w:val="0"/>
              <w:spacing w:before="508" w:after="0" w:line="320" w:lineRule="exact"/>
              <w:jc w:val="center"/>
            </w:pPr>
            <w:r>
              <w:rPr>
                <w:rFonts w:ascii="TimesNewRomanPSMT" w:eastAsia="TimesNewRomanPSMT" w:hAnsi="TimesNewRomanPSMT"/>
                <w:color w:val="000000"/>
                <w:sz w:val="24"/>
              </w:rPr>
              <w:t>•</w:t>
            </w:r>
          </w:p>
        </w:tc>
        <w:tc>
          <w:tcPr>
            <w:tcW w:w="876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OFPP needs to ensure, going forward, that consistent and sensible definitions of the acquisition workforce are in place, and that accurate data is consistently collected about all of the relevant categories, from year to year and across all agencies. </w:t>
            </w:r>
          </w:p>
          <w:p w:rsidR="00EC557F" w:rsidRDefault="00422FC7">
            <w:pPr>
              <w:autoSpaceDE w:val="0"/>
              <w:autoSpaceDN w:val="0"/>
              <w:spacing w:before="44" w:after="0" w:line="276" w:lineRule="exact"/>
              <w:ind w:left="140"/>
            </w:pPr>
            <w:r>
              <w:rPr>
                <w:rFonts w:ascii="TimesNewRomanPSMT" w:eastAsia="TimesNewRomanPSMT" w:hAnsi="TimesNewRomanPSMT"/>
                <w:color w:val="000000"/>
                <w:sz w:val="24"/>
              </w:rPr>
              <w:t xml:space="preserve">Data should be collected both about the narrow contracting specialties (along the lines of the current FAI count) and about the broader acquisition-related workforce (along the lines of the current DoD AT&amp;L workforce count methodology). </w:t>
            </w:r>
          </w:p>
        </w:tc>
      </w:tr>
    </w:tbl>
    <w:p w:rsidR="00EC557F" w:rsidRDefault="00422FC7">
      <w:pPr>
        <w:autoSpaceDE w:val="0"/>
        <w:autoSpaceDN w:val="0"/>
        <w:spacing w:before="176" w:after="154" w:line="334" w:lineRule="exact"/>
        <w:ind w:left="360"/>
      </w:pPr>
      <w:r>
        <w:rPr>
          <w:rFonts w:ascii="TimesNewRomanPS" w:eastAsia="TimesNewRomanPS" w:hAnsi="TimesNewRomanPS"/>
          <w:b/>
          <w:color w:val="000000"/>
          <w:sz w:val="24"/>
        </w:rPr>
        <w:t xml:space="preserve">Recommendation #1-2: Data Collection and Workforce Definition </w:t>
      </w:r>
    </w:p>
    <w:tbl>
      <w:tblPr>
        <w:tblW w:w="0" w:type="auto"/>
        <w:tblInd w:w="180" w:type="dxa"/>
        <w:tblLayout w:type="fixed"/>
        <w:tblLook w:val="04A0" w:firstRow="1" w:lastRow="0" w:firstColumn="1" w:lastColumn="0" w:noHBand="0" w:noVBand="1"/>
      </w:tblPr>
      <w:tblGrid>
        <w:gridCol w:w="400"/>
        <w:gridCol w:w="8720"/>
      </w:tblGrid>
      <w:tr w:rsidR="00EC557F">
        <w:trPr>
          <w:trHeight w:hRule="exact" w:val="1268"/>
        </w:trPr>
        <w:tc>
          <w:tcPr>
            <w:tcW w:w="400" w:type="dxa"/>
            <w:tcMar>
              <w:left w:w="0" w:type="dxa"/>
              <w:right w:w="0" w:type="dxa"/>
            </w:tcMar>
          </w:tcPr>
          <w:p w:rsidR="00EC557F" w:rsidRDefault="00422FC7">
            <w:pPr>
              <w:autoSpaceDE w:val="0"/>
              <w:autoSpaceDN w:val="0"/>
              <w:spacing w:after="0" w:line="466" w:lineRule="exact"/>
              <w:ind w:left="144"/>
              <w:jc w:val="center"/>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872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The Office of Federal Procurement Policy should prescribe a consistent definition and a method for measuring the Acquisition Workforce of both civilian and military agencies. Definitions and measures should be completed by OFPP within 1 year from the date of this report. </w:t>
            </w:r>
          </w:p>
        </w:tc>
      </w:tr>
    </w:tbl>
    <w:p w:rsidR="00EC557F" w:rsidRDefault="00422FC7">
      <w:pPr>
        <w:autoSpaceDE w:val="0"/>
        <w:autoSpaceDN w:val="0"/>
        <w:spacing w:before="176" w:after="154" w:line="334" w:lineRule="exact"/>
        <w:ind w:left="360"/>
      </w:pPr>
      <w:r>
        <w:rPr>
          <w:rFonts w:ascii="TimesNewRomanPS" w:eastAsia="TimesNewRomanPS" w:hAnsi="TimesNewRomanPS"/>
          <w:b/>
          <w:color w:val="000000"/>
          <w:sz w:val="24"/>
        </w:rPr>
        <w:t>Recommendation #1-3: Acquisition Workforce Database [Tabled]</w:t>
      </w:r>
    </w:p>
    <w:tbl>
      <w:tblPr>
        <w:tblW w:w="0" w:type="auto"/>
        <w:tblInd w:w="180" w:type="dxa"/>
        <w:tblLayout w:type="fixed"/>
        <w:tblLook w:val="04A0" w:firstRow="1" w:lastRow="0" w:firstColumn="1" w:lastColumn="0" w:noHBand="0" w:noVBand="1"/>
      </w:tblPr>
      <w:tblGrid>
        <w:gridCol w:w="400"/>
        <w:gridCol w:w="8660"/>
      </w:tblGrid>
      <w:tr w:rsidR="00EC557F">
        <w:trPr>
          <w:trHeight w:hRule="exact" w:val="1268"/>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tc>
        <w:tc>
          <w:tcPr>
            <w:tcW w:w="8660" w:type="dxa"/>
            <w:tcMar>
              <w:left w:w="0" w:type="dxa"/>
              <w:right w:w="0" w:type="dxa"/>
            </w:tcMar>
          </w:tcPr>
          <w:p w:rsidR="00EC557F" w:rsidRDefault="00422FC7">
            <w:pPr>
              <w:autoSpaceDE w:val="0"/>
              <w:autoSpaceDN w:val="0"/>
              <w:spacing w:before="104" w:after="0" w:line="276" w:lineRule="exact"/>
              <w:ind w:left="140" w:right="144"/>
            </w:pPr>
            <w:r>
              <w:rPr>
                <w:rFonts w:ascii="TimesNewRomanPSMT" w:eastAsia="TimesNewRomanPSMT" w:hAnsi="TimesNewRomanPSMT"/>
                <w:color w:val="000000"/>
                <w:sz w:val="24"/>
              </w:rPr>
              <w:t xml:space="preserve">OFPP should find a means of consistently measuring the contribution of contractor personnel to the work of acquisition. </w:t>
            </w:r>
            <w:r>
              <w:rPr>
                <w:rFonts w:ascii="TimesNewRomanPSMT" w:eastAsia="TimesNewRomanPSMT" w:hAnsi="TimesNewRomanPSMT"/>
                <w:color w:val="000000"/>
                <w:sz w:val="24"/>
                <w:u w:val="single"/>
              </w:rPr>
              <w:t xml:space="preserve">[TABLED – to be considered by the </w:t>
            </w:r>
            <w:r>
              <w:rPr>
                <w:rFonts w:ascii="TimesNewRomanPS" w:eastAsia="TimesNewRomanPS" w:hAnsi="TimesNewRomanPS"/>
                <w:i/>
                <w:color w:val="000000"/>
                <w:sz w:val="24"/>
                <w:u w:val="single"/>
              </w:rPr>
              <w:t>Appropriate</w:t>
            </w:r>
            <w:r>
              <w:rPr>
                <w:rFonts w:ascii="TimesNewRomanPS" w:eastAsia="TimesNewRomanPS" w:hAnsi="TimesNewRomanPS"/>
                <w:i/>
                <w:color w:val="000000"/>
                <w:sz w:val="24"/>
              </w:rPr>
              <w:t xml:space="preserve"> </w:t>
            </w:r>
            <w:r>
              <w:rPr>
                <w:rFonts w:ascii="TimesNewRomanPS" w:eastAsia="TimesNewRomanPS" w:hAnsi="TimesNewRomanPS"/>
                <w:i/>
                <w:color w:val="000000"/>
                <w:sz w:val="24"/>
                <w:u w:val="single"/>
              </w:rPr>
              <w:t>Role of Contractors Supporting the Government Working Group</w:t>
            </w:r>
            <w:r>
              <w:rPr>
                <w:rFonts w:ascii="TimesNewRomanPSMT" w:eastAsia="TimesNewRomanPSMT" w:hAnsi="TimesNewRomanPSMT"/>
                <w:color w:val="000000"/>
                <w:sz w:val="24"/>
                <w:u w:val="single"/>
              </w:rPr>
              <w:t xml:space="preserve"> in its discussion of personal services contracts] </w:t>
            </w:r>
          </w:p>
        </w:tc>
      </w:tr>
    </w:tbl>
    <w:p w:rsidR="00EC557F" w:rsidRDefault="00422FC7">
      <w:pPr>
        <w:autoSpaceDE w:val="0"/>
        <w:autoSpaceDN w:val="0"/>
        <w:spacing w:before="176" w:after="154" w:line="332" w:lineRule="exact"/>
        <w:ind w:left="360"/>
      </w:pPr>
      <w:r>
        <w:rPr>
          <w:rFonts w:ascii="TimesNewRomanPS" w:eastAsia="TimesNewRomanPS" w:hAnsi="TimesNewRomanPS"/>
          <w:b/>
          <w:color w:val="000000"/>
          <w:sz w:val="24"/>
        </w:rPr>
        <w:t xml:space="preserve">Recommendation #1.4: Acquisition Workforce Database </w:t>
      </w:r>
    </w:p>
    <w:tbl>
      <w:tblPr>
        <w:tblW w:w="0" w:type="auto"/>
        <w:tblInd w:w="180" w:type="dxa"/>
        <w:tblLayout w:type="fixed"/>
        <w:tblLook w:val="04A0" w:firstRow="1" w:lastRow="0" w:firstColumn="1" w:lastColumn="0" w:noHBand="0" w:noVBand="1"/>
      </w:tblPr>
      <w:tblGrid>
        <w:gridCol w:w="400"/>
        <w:gridCol w:w="8600"/>
      </w:tblGrid>
      <w:tr w:rsidR="00EC557F">
        <w:trPr>
          <w:trHeight w:hRule="exact" w:val="2374"/>
        </w:trPr>
        <w:tc>
          <w:tcPr>
            <w:tcW w:w="400" w:type="dxa"/>
            <w:tcMar>
              <w:left w:w="0" w:type="dxa"/>
              <w:right w:w="0" w:type="dxa"/>
            </w:tcMar>
          </w:tcPr>
          <w:p w:rsidR="00EC557F" w:rsidRDefault="00422FC7">
            <w:pPr>
              <w:autoSpaceDE w:val="0"/>
              <w:autoSpaceDN w:val="0"/>
              <w:spacing w:before="60" w:after="0" w:line="322" w:lineRule="exact"/>
              <w:jc w:val="center"/>
            </w:pPr>
            <w:r>
              <w:rPr>
                <w:rFonts w:ascii="TimesNewRomanPSMT" w:eastAsia="TimesNewRomanPSMT" w:hAnsi="TimesNewRomanPSMT"/>
                <w:color w:val="000000"/>
                <w:sz w:val="24"/>
              </w:rPr>
              <w:t>•</w:t>
            </w:r>
          </w:p>
        </w:tc>
        <w:tc>
          <w:tcPr>
            <w:tcW w:w="8600" w:type="dxa"/>
            <w:tcMar>
              <w:left w:w="0" w:type="dxa"/>
              <w:right w:w="0" w:type="dxa"/>
            </w:tcMar>
          </w:tcPr>
          <w:p w:rsidR="00EC557F" w:rsidRDefault="00422FC7">
            <w:pPr>
              <w:tabs>
                <w:tab w:val="left" w:pos="500"/>
                <w:tab w:val="left" w:pos="1220"/>
                <w:tab w:val="left" w:pos="1580"/>
              </w:tabs>
              <w:autoSpaceDE w:val="0"/>
              <w:autoSpaceDN w:val="0"/>
              <w:spacing w:before="106" w:after="0" w:line="276" w:lineRule="exact"/>
              <w:ind w:left="140" w:right="144"/>
            </w:pPr>
            <w:r>
              <w:rPr>
                <w:rFonts w:ascii="TimesNewRomanPSMT" w:eastAsia="TimesNewRomanPSMT" w:hAnsi="TimesNewRomanPSMT"/>
                <w:color w:val="000000"/>
                <w:sz w:val="24"/>
              </w:rPr>
              <w:t xml:space="preserve">Consistent with recommendations 1-1 and 1-2, OFPP should be responsible for the creation, implementation, and maintenance of a mandatory single government-wide database for members of the Acquisition Workforce </w:t>
            </w:r>
            <w:r>
              <w:br/>
            </w:r>
            <w:r>
              <w:tab/>
            </w:r>
            <w:r>
              <w:rPr>
                <w:rFonts w:ascii="TimesNewRomanPSMT" w:eastAsia="TimesNewRomanPSMT" w:hAnsi="TimesNewRomanPSMT"/>
                <w:color w:val="000000"/>
                <w:sz w:val="24"/>
              </w:rPr>
              <w:t xml:space="preserve">–The database should reflect the following purpose and elements: </w:t>
            </w:r>
            <w:r>
              <w:br/>
            </w:r>
            <w:r>
              <w:tab/>
            </w:r>
            <w:r>
              <w:tab/>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Purpose: To provide information to support effective human capital </w:t>
            </w:r>
            <w:r>
              <w:tab/>
            </w:r>
            <w:r>
              <w:tab/>
            </w:r>
            <w:r>
              <w:tab/>
            </w:r>
            <w:r>
              <w:rPr>
                <w:rFonts w:ascii="TimesNewRomanPSMT" w:eastAsia="TimesNewRomanPSMT" w:hAnsi="TimesNewRomanPSMT"/>
                <w:color w:val="000000"/>
                <w:sz w:val="24"/>
              </w:rPr>
              <w:t xml:space="preserve">management of the acquisition workforce </w:t>
            </w:r>
            <w:r>
              <w:br/>
            </w:r>
            <w:r>
              <w:tab/>
            </w:r>
            <w:r>
              <w:tab/>
            </w:r>
            <w:r>
              <w:rPr>
                <w:rFonts w:ascii="TimesNewRomanPSMT" w:eastAsia="TimesNewRomanPSMT" w:hAnsi="TimesNewRomanPSMT"/>
                <w:color w:val="000000"/>
                <w:sz w:val="24"/>
              </w:rPr>
              <w:t>•</w:t>
            </w:r>
            <w:r>
              <w:br/>
            </w:r>
            <w:r>
              <w:tab/>
            </w:r>
            <w:r>
              <w:rPr>
                <w:rFonts w:ascii="TimesNewRomanPSMT" w:eastAsia="TimesNewRomanPSMT" w:hAnsi="TimesNewRomanPSMT"/>
                <w:color w:val="000000"/>
                <w:sz w:val="24"/>
              </w:rPr>
              <w:t xml:space="preserve">Elements should include: employment experience, education, training, </w:t>
            </w:r>
            <w:r>
              <w:tab/>
            </w:r>
            <w:r>
              <w:tab/>
            </w:r>
            <w:r>
              <w:tab/>
            </w:r>
            <w:r>
              <w:rPr>
                <w:rFonts w:ascii="TimesNewRomanPSMT" w:eastAsia="TimesNewRomanPSMT" w:hAnsi="TimesNewRomanPSMT"/>
                <w:color w:val="000000"/>
                <w:sz w:val="24"/>
              </w:rPr>
              <w:t xml:space="preserve">certifications, grade, pay, career series, and retirement eligibility. </w:t>
            </w:r>
          </w:p>
        </w:tc>
      </w:tr>
    </w:tbl>
    <w:p w:rsidR="00EC557F" w:rsidRDefault="00422FC7">
      <w:pPr>
        <w:autoSpaceDE w:val="0"/>
        <w:autoSpaceDN w:val="0"/>
        <w:spacing w:before="176" w:after="154" w:line="332" w:lineRule="exact"/>
        <w:ind w:left="360"/>
      </w:pPr>
      <w:r>
        <w:rPr>
          <w:rFonts w:ascii="TimesNewRomanPS" w:eastAsia="TimesNewRomanPS" w:hAnsi="TimesNewRomanPS"/>
          <w:b/>
          <w:color w:val="000000"/>
          <w:sz w:val="24"/>
        </w:rPr>
        <w:t xml:space="preserve">Recommendation #2-1: Human Capital Planning for the Acquisition Workforce </w:t>
      </w:r>
    </w:p>
    <w:tbl>
      <w:tblPr>
        <w:tblW w:w="0" w:type="auto"/>
        <w:tblInd w:w="180" w:type="dxa"/>
        <w:tblLayout w:type="fixed"/>
        <w:tblLook w:val="04A0" w:firstRow="1" w:lastRow="0" w:firstColumn="1" w:lastColumn="0" w:noHBand="0" w:noVBand="1"/>
      </w:tblPr>
      <w:tblGrid>
        <w:gridCol w:w="400"/>
        <w:gridCol w:w="8800"/>
      </w:tblGrid>
      <w:tr w:rsidR="00EC557F">
        <w:trPr>
          <w:trHeight w:hRule="exact" w:val="718"/>
        </w:trPr>
        <w:tc>
          <w:tcPr>
            <w:tcW w:w="400" w:type="dxa"/>
            <w:tcMar>
              <w:left w:w="0" w:type="dxa"/>
              <w:right w:w="0" w:type="dxa"/>
            </w:tcMar>
          </w:tcPr>
          <w:p w:rsidR="00EC557F" w:rsidRDefault="00422FC7">
            <w:pPr>
              <w:autoSpaceDE w:val="0"/>
              <w:autoSpaceDN w:val="0"/>
              <w:spacing w:before="60" w:after="0" w:line="322" w:lineRule="exact"/>
              <w:jc w:val="center"/>
            </w:pPr>
            <w:r>
              <w:rPr>
                <w:rFonts w:ascii="TimesNewRomanPSMT" w:eastAsia="TimesNewRomanPSMT" w:hAnsi="TimesNewRomanPSMT"/>
                <w:color w:val="000000"/>
                <w:sz w:val="24"/>
              </w:rPr>
              <w:t>•</w:t>
            </w:r>
          </w:p>
        </w:tc>
        <w:tc>
          <w:tcPr>
            <w:tcW w:w="8800" w:type="dxa"/>
            <w:tcMar>
              <w:left w:w="0" w:type="dxa"/>
              <w:right w:w="0" w:type="dxa"/>
            </w:tcMar>
          </w:tcPr>
          <w:p w:rsidR="00EC557F" w:rsidRDefault="00422FC7">
            <w:pPr>
              <w:autoSpaceDE w:val="0"/>
              <w:autoSpaceDN w:val="0"/>
              <w:spacing w:before="106" w:after="0" w:line="276" w:lineRule="exact"/>
              <w:ind w:left="140"/>
            </w:pPr>
            <w:r>
              <w:rPr>
                <w:rFonts w:ascii="TimesNewRomanPSMT" w:eastAsia="TimesNewRomanPSMT" w:hAnsi="TimesNewRomanPSMT"/>
                <w:color w:val="000000"/>
                <w:sz w:val="24"/>
              </w:rPr>
              <w:t xml:space="preserve">In each agency, as part of the overall agency Human Capital Management Plan, the Chief Acquisition Officer should be responsible for creating and implementing a distinct </w:t>
            </w:r>
          </w:p>
        </w:tc>
      </w:tr>
    </w:tbl>
    <w:p w:rsidR="00EC557F" w:rsidRDefault="00422FC7">
      <w:pPr>
        <w:autoSpaceDE w:val="0"/>
        <w:autoSpaceDN w:val="0"/>
        <w:spacing w:before="882" w:after="0" w:line="320" w:lineRule="exact"/>
        <w:ind w:right="36"/>
        <w:jc w:val="right"/>
      </w:pPr>
      <w:r>
        <w:rPr>
          <w:rFonts w:ascii="TimesNewRomanPSMT" w:eastAsia="TimesNewRomanPSMT" w:hAnsi="TimesNewRomanPSMT"/>
          <w:color w:val="000000"/>
          <w:sz w:val="24"/>
        </w:rPr>
        <w:t>7</w:t>
      </w:r>
    </w:p>
    <w:p w:rsidR="00EC557F" w:rsidRDefault="00EC557F">
      <w:pPr>
        <w:sectPr w:rsidR="00EC557F">
          <w:pgSz w:w="12240" w:h="15840"/>
          <w:pgMar w:top="704" w:right="1404" w:bottom="352" w:left="1440" w:header="720" w:footer="720" w:gutter="0"/>
          <w:cols w:space="720"/>
          <w:docGrid w:linePitch="360"/>
        </w:sectPr>
      </w:pPr>
    </w:p>
    <w:p w:rsidR="00EC557F" w:rsidRDefault="00EC557F">
      <w:pPr>
        <w:autoSpaceDE w:val="0"/>
        <w:autoSpaceDN w:val="0"/>
        <w:spacing w:after="484" w:line="220" w:lineRule="exact"/>
      </w:pPr>
    </w:p>
    <w:p w:rsidR="00EC557F" w:rsidRDefault="00422FC7">
      <w:pPr>
        <w:autoSpaceDE w:val="0"/>
        <w:autoSpaceDN w:val="0"/>
        <w:spacing w:before="44" w:after="0" w:line="276" w:lineRule="exact"/>
        <w:ind w:left="720" w:right="288"/>
      </w:pPr>
      <w:r>
        <w:rPr>
          <w:rFonts w:ascii="TimesNewRomanPSMT" w:eastAsia="TimesNewRomanPSMT" w:hAnsi="TimesNewRomanPSMT"/>
          <w:color w:val="000000"/>
          <w:sz w:val="24"/>
        </w:rPr>
        <w:t xml:space="preserve">Acquisition Workforce Human Capital Strategic Plan designed to assess and meet the agency’s needs for acquisition workforce. </w:t>
      </w:r>
    </w:p>
    <w:p w:rsidR="00EC557F" w:rsidRDefault="00422FC7">
      <w:pPr>
        <w:autoSpaceDE w:val="0"/>
        <w:autoSpaceDN w:val="0"/>
        <w:spacing w:before="512" w:after="154" w:line="334" w:lineRule="exact"/>
        <w:ind w:left="360"/>
      </w:pPr>
      <w:r>
        <w:rPr>
          <w:rFonts w:ascii="TimesNewRomanPS" w:eastAsia="TimesNewRomanPS" w:hAnsi="TimesNewRomanPS"/>
          <w:b/>
          <w:color w:val="000000"/>
          <w:sz w:val="24"/>
        </w:rPr>
        <w:t>Recommendation #2-2: Human Capital Planning for the Acquisition Workforce</w:t>
      </w:r>
    </w:p>
    <w:tbl>
      <w:tblPr>
        <w:tblW w:w="0" w:type="auto"/>
        <w:tblInd w:w="180" w:type="dxa"/>
        <w:tblLayout w:type="fixed"/>
        <w:tblLook w:val="04A0" w:firstRow="1" w:lastRow="0" w:firstColumn="1" w:lastColumn="0" w:noHBand="0" w:noVBand="1"/>
      </w:tblPr>
      <w:tblGrid>
        <w:gridCol w:w="400"/>
        <w:gridCol w:w="8820"/>
      </w:tblGrid>
      <w:tr w:rsidR="00EC557F">
        <w:trPr>
          <w:trHeight w:hRule="exact" w:val="716"/>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tc>
        <w:tc>
          <w:tcPr>
            <w:tcW w:w="882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Agency CAOs should be responsible for measuring and predicting, to the extent possible, the agency’s needs for procurement personnel. </w:t>
            </w:r>
          </w:p>
        </w:tc>
      </w:tr>
    </w:tbl>
    <w:p w:rsidR="00EC557F" w:rsidRDefault="00422FC7">
      <w:pPr>
        <w:autoSpaceDE w:val="0"/>
        <w:autoSpaceDN w:val="0"/>
        <w:spacing w:before="176" w:after="154" w:line="334" w:lineRule="exact"/>
        <w:ind w:left="360"/>
      </w:pPr>
      <w:r>
        <w:rPr>
          <w:rFonts w:ascii="TimesNewRomanPS" w:eastAsia="TimesNewRomanPS" w:hAnsi="TimesNewRomanPS"/>
          <w:b/>
          <w:color w:val="000000"/>
          <w:sz w:val="24"/>
        </w:rPr>
        <w:t>Recommendation #2-3: Human Capital Planning for the Acquisition Workforce</w:t>
      </w:r>
    </w:p>
    <w:tbl>
      <w:tblPr>
        <w:tblW w:w="0" w:type="auto"/>
        <w:tblInd w:w="180" w:type="dxa"/>
        <w:tblLayout w:type="fixed"/>
        <w:tblLook w:val="04A0" w:firstRow="1" w:lastRow="0" w:firstColumn="1" w:lastColumn="0" w:noHBand="0" w:noVBand="1"/>
      </w:tblPr>
      <w:tblGrid>
        <w:gridCol w:w="400"/>
        <w:gridCol w:w="8680"/>
      </w:tblGrid>
      <w:tr w:rsidR="00EC557F">
        <w:trPr>
          <w:trHeight w:hRule="exact" w:val="992"/>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tc>
        <w:tc>
          <w:tcPr>
            <w:tcW w:w="8680" w:type="dxa"/>
            <w:tcMar>
              <w:left w:w="0" w:type="dxa"/>
              <w:right w:w="0" w:type="dxa"/>
            </w:tcMar>
          </w:tcPr>
          <w:p w:rsidR="00EC557F" w:rsidRDefault="00422FC7">
            <w:pPr>
              <w:autoSpaceDE w:val="0"/>
              <w:autoSpaceDN w:val="0"/>
              <w:spacing w:before="104" w:after="0" w:line="276" w:lineRule="exact"/>
              <w:ind w:left="140" w:right="144"/>
            </w:pPr>
            <w:r>
              <w:rPr>
                <w:rFonts w:ascii="TimesNewRomanPSMT" w:eastAsia="TimesNewRomanPSMT" w:hAnsi="TimesNewRomanPSMT"/>
                <w:color w:val="000000"/>
                <w:sz w:val="24"/>
              </w:rPr>
              <w:t xml:space="preserve">It is not sufficient simply to try to retain and manage existing personnel resources. </w:t>
            </w:r>
            <w:r>
              <w:rPr>
                <w:rFonts w:ascii="TimesNewRomanPSMT" w:eastAsia="TimesNewRomanPSMT" w:hAnsi="TimesNewRomanPSMT"/>
                <w:color w:val="000000"/>
                <w:sz w:val="24"/>
              </w:rPr>
              <w:t xml:space="preserve">Resources needed must be identified and gaps between needed resources and available resources must be forthrightly acknowledged. </w:t>
            </w:r>
          </w:p>
        </w:tc>
      </w:tr>
    </w:tbl>
    <w:p w:rsidR="00EC557F" w:rsidRDefault="00422FC7">
      <w:pPr>
        <w:autoSpaceDE w:val="0"/>
        <w:autoSpaceDN w:val="0"/>
        <w:spacing w:before="176" w:after="154" w:line="334" w:lineRule="exact"/>
        <w:ind w:left="360"/>
      </w:pPr>
      <w:r>
        <w:rPr>
          <w:rFonts w:ascii="TimesNewRomanPS" w:eastAsia="TimesNewRomanPS" w:hAnsi="TimesNewRomanPS"/>
          <w:b/>
          <w:color w:val="000000"/>
          <w:sz w:val="24"/>
        </w:rPr>
        <w:t xml:space="preserve">Recommendation #2-4: Human Capital Planning for the Acquisition Workforce </w:t>
      </w:r>
    </w:p>
    <w:tbl>
      <w:tblPr>
        <w:tblW w:w="0" w:type="auto"/>
        <w:tblInd w:w="180" w:type="dxa"/>
        <w:tblLayout w:type="fixed"/>
        <w:tblLook w:val="04A0" w:firstRow="1" w:lastRow="0" w:firstColumn="1" w:lastColumn="0" w:noHBand="0" w:noVBand="1"/>
      </w:tblPr>
      <w:tblGrid>
        <w:gridCol w:w="400"/>
        <w:gridCol w:w="8580"/>
      </w:tblGrid>
      <w:tr w:rsidR="00EC557F">
        <w:trPr>
          <w:trHeight w:hRule="exact" w:val="1268"/>
        </w:trPr>
        <w:tc>
          <w:tcPr>
            <w:tcW w:w="400" w:type="dxa"/>
            <w:tcMar>
              <w:left w:w="0" w:type="dxa"/>
              <w:right w:w="0" w:type="dxa"/>
            </w:tcMar>
          </w:tcPr>
          <w:p w:rsidR="00EC557F" w:rsidRDefault="00422FC7">
            <w:pPr>
              <w:autoSpaceDE w:val="0"/>
              <w:autoSpaceDN w:val="0"/>
              <w:spacing w:after="0" w:line="466" w:lineRule="exact"/>
              <w:ind w:left="144"/>
              <w:jc w:val="center"/>
            </w:pPr>
            <w:r>
              <w:rPr>
                <w:rFonts w:ascii="TimesNewRomanPSMT" w:eastAsia="TimesNewRomanPSMT" w:hAnsi="TimesNewRomanPSMT"/>
                <w:color w:val="000000"/>
                <w:sz w:val="24"/>
              </w:rPr>
              <w:t>•</w:t>
            </w:r>
            <w:r>
              <w:br/>
            </w:r>
            <w:r>
              <w:rPr>
                <w:rFonts w:ascii="TimesNewRomanPSMT" w:eastAsia="TimesNewRomanPSMT" w:hAnsi="TimesNewRomanPSMT"/>
                <w:color w:val="000000"/>
                <w:sz w:val="24"/>
              </w:rPr>
              <w:t>•</w:t>
            </w:r>
          </w:p>
        </w:tc>
        <w:tc>
          <w:tcPr>
            <w:tcW w:w="8580" w:type="dxa"/>
            <w:tcMar>
              <w:left w:w="0" w:type="dxa"/>
              <w:right w:w="0" w:type="dxa"/>
            </w:tcMar>
          </w:tcPr>
          <w:p w:rsidR="00EC557F" w:rsidRDefault="00422FC7">
            <w:pPr>
              <w:autoSpaceDE w:val="0"/>
              <w:autoSpaceDN w:val="0"/>
              <w:spacing w:before="104" w:after="0" w:line="276" w:lineRule="exact"/>
              <w:ind w:left="140" w:right="288"/>
            </w:pPr>
            <w:r>
              <w:rPr>
                <w:rFonts w:ascii="TimesNewRomanPSMT" w:eastAsia="TimesNewRomanPSMT" w:hAnsi="TimesNewRomanPSMT"/>
                <w:color w:val="000000"/>
                <w:sz w:val="24"/>
              </w:rPr>
              <w:t xml:space="preserve">Assessment of the role played by contractor personnel in the acquisition workforce should be part of the strategic plan. </w:t>
            </w:r>
          </w:p>
          <w:p w:rsidR="00EC557F" w:rsidRDefault="00422FC7">
            <w:pPr>
              <w:autoSpaceDE w:val="0"/>
              <w:autoSpaceDN w:val="0"/>
              <w:spacing w:before="44" w:after="0" w:line="276" w:lineRule="exact"/>
              <w:ind w:left="140" w:right="144"/>
            </w:pPr>
            <w:r>
              <w:rPr>
                <w:rFonts w:ascii="TimesNewRomanPSMT" w:eastAsia="TimesNewRomanPSMT" w:hAnsi="TimesNewRomanPSMT"/>
                <w:color w:val="000000"/>
                <w:sz w:val="24"/>
              </w:rPr>
              <w:t xml:space="preserve">The strategic plan should consider whether the current use of contractor personnel to </w:t>
            </w:r>
            <w:r>
              <w:rPr>
                <w:rFonts w:ascii="TimesNewRomanPSMT" w:eastAsia="TimesNewRomanPSMT" w:hAnsi="TimesNewRomanPSMT"/>
                <w:color w:val="000000"/>
                <w:sz w:val="24"/>
              </w:rPr>
              <w:t xml:space="preserve">supplement the acquisition workforce is efficient or not. </w:t>
            </w:r>
          </w:p>
        </w:tc>
      </w:tr>
    </w:tbl>
    <w:p w:rsidR="00EC557F" w:rsidRDefault="00422FC7">
      <w:pPr>
        <w:autoSpaceDE w:val="0"/>
        <w:autoSpaceDN w:val="0"/>
        <w:spacing w:before="176" w:after="0" w:line="334" w:lineRule="exact"/>
        <w:ind w:left="360"/>
      </w:pPr>
      <w:r>
        <w:rPr>
          <w:rFonts w:ascii="TimesNewRomanPS" w:eastAsia="TimesNewRomanPS" w:hAnsi="TimesNewRomanPS"/>
          <w:b/>
          <w:color w:val="000000"/>
          <w:sz w:val="24"/>
        </w:rPr>
        <w:t xml:space="preserve">Recommendation #2-5: Qualitative Assessment </w:t>
      </w:r>
    </w:p>
    <w:p w:rsidR="00EC557F" w:rsidRDefault="00422FC7">
      <w:pPr>
        <w:tabs>
          <w:tab w:val="left" w:pos="720"/>
        </w:tabs>
        <w:autoSpaceDE w:val="0"/>
        <w:autoSpaceDN w:val="0"/>
        <w:spacing w:before="258" w:after="0" w:line="276" w:lineRule="exact"/>
        <w:ind w:left="360"/>
      </w:pP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Agencies’ human capital planning for the acquisition workforce needs to address the </w:t>
      </w:r>
      <w:r>
        <w:tab/>
      </w:r>
      <w:r>
        <w:rPr>
          <w:rFonts w:ascii="TimesNewRomanPSMT" w:eastAsia="TimesNewRomanPSMT" w:hAnsi="TimesNewRomanPSMT"/>
          <w:color w:val="000000"/>
          <w:sz w:val="24"/>
        </w:rPr>
        <w:t xml:space="preserve">adequacy of existing resources in meeting each agency’s procurement needs throughout </w:t>
      </w:r>
      <w:r>
        <w:tab/>
      </w:r>
      <w:r>
        <w:rPr>
          <w:rFonts w:ascii="TimesNewRomanPSMT" w:eastAsia="TimesNewRomanPSMT" w:hAnsi="TimesNewRomanPSMT"/>
          <w:color w:val="000000"/>
          <w:sz w:val="24"/>
        </w:rPr>
        <w:t xml:space="preserve">the acquisition lifecycle.  The standard should be whether the government is able to </w:t>
      </w:r>
      <w:r>
        <w:tab/>
      </w:r>
      <w:r>
        <w:rPr>
          <w:rFonts w:ascii="TimesNewRomanPSMT" w:eastAsia="TimesNewRomanPSMT" w:hAnsi="TimesNewRomanPSMT"/>
          <w:color w:val="000000"/>
          <w:sz w:val="24"/>
        </w:rPr>
        <w:t xml:space="preserve">optimize the contribution of private sector capabilities, secured through the market, to the </w:t>
      </w:r>
      <w:r>
        <w:tab/>
      </w:r>
      <w:r>
        <w:rPr>
          <w:rFonts w:ascii="TimesNewRomanPSMT" w:eastAsia="TimesNewRomanPSMT" w:hAnsi="TimesNewRomanPSMT"/>
          <w:color w:val="000000"/>
          <w:sz w:val="24"/>
        </w:rPr>
        <w:t xml:space="preserve">accomplishment of federal agency missions. </w:t>
      </w:r>
    </w:p>
    <w:p w:rsidR="00EC557F" w:rsidRDefault="00422FC7">
      <w:pPr>
        <w:tabs>
          <w:tab w:val="left" w:pos="360"/>
        </w:tabs>
        <w:autoSpaceDE w:val="0"/>
        <w:autoSpaceDN w:val="0"/>
        <w:spacing w:before="30" w:after="0" w:line="292" w:lineRule="exact"/>
        <w:ind w:right="1872"/>
      </w:pPr>
      <w:r>
        <w:tab/>
      </w:r>
      <w:r>
        <w:rPr>
          <w:rFonts w:ascii="TimesNewRomanPSMT" w:eastAsia="TimesNewRomanPSMT" w:hAnsi="TimesNewRomanPSMT"/>
          <w:color w:val="000000"/>
          <w:sz w:val="24"/>
        </w:rPr>
        <w:t>•</w:t>
      </w:r>
      <w:r>
        <w:br/>
      </w:r>
      <w:r>
        <w:rPr>
          <w:rFonts w:ascii="TimesNewRomanPS" w:eastAsia="TimesNewRomanPS" w:hAnsi="TimesNewRomanPS"/>
          <w:b/>
          <w:color w:val="000000"/>
          <w:sz w:val="24"/>
        </w:rPr>
        <w:t xml:space="preserve">Recommendation #3: Workforce Improvements Need Prompt Attention </w:t>
      </w:r>
    </w:p>
    <w:p w:rsidR="00EC557F" w:rsidRDefault="00422FC7">
      <w:pPr>
        <w:autoSpaceDE w:val="0"/>
        <w:autoSpaceDN w:val="0"/>
        <w:spacing w:before="260" w:after="0" w:line="276" w:lineRule="exact"/>
      </w:pPr>
      <w:r>
        <w:rPr>
          <w:rFonts w:ascii="TimesNewRomanPSMT" w:eastAsia="TimesNewRomanPSMT" w:hAnsi="TimesNewRomanPSMT"/>
          <w:color w:val="000000"/>
          <w:sz w:val="24"/>
        </w:rPr>
        <w:t>Due to the severe lack of capacity in the acquisition workforce, aggressive action to improve the acquisition workforce must begin immediately.  All agencies should begin acquisition workforce human capital planning immediately, if such plans are not already underway.  Agencies should complete initial assessment and planning as quickly as possible.  If initial human capital planning reveals gaps, agencies should take immediate steps to address such gaps, whether they arise in hiring, allocation of resources</w:t>
      </w:r>
      <w:r>
        <w:rPr>
          <w:rFonts w:ascii="TimesNewRomanPSMT" w:eastAsia="TimesNewRomanPSMT" w:hAnsi="TimesNewRomanPSMT"/>
          <w:color w:val="000000"/>
          <w:sz w:val="24"/>
        </w:rPr>
        <w:t xml:space="preserve">, training or otherwise. </w:t>
      </w:r>
    </w:p>
    <w:p w:rsidR="00EC557F" w:rsidRDefault="00422FC7">
      <w:pPr>
        <w:autoSpaceDE w:val="0"/>
        <w:autoSpaceDN w:val="0"/>
        <w:spacing w:before="236" w:after="430" w:line="332" w:lineRule="exact"/>
        <w:ind w:left="360"/>
      </w:pPr>
      <w:r>
        <w:rPr>
          <w:rFonts w:ascii="TimesNewRomanPS" w:eastAsia="TimesNewRomanPS" w:hAnsi="TimesNewRomanPS"/>
          <w:b/>
          <w:color w:val="000000"/>
          <w:sz w:val="24"/>
        </w:rPr>
        <w:t xml:space="preserve">Recommendation #3-1: Need to Recruit Talented Entry Level Personnel </w:t>
      </w:r>
    </w:p>
    <w:tbl>
      <w:tblPr>
        <w:tblW w:w="0" w:type="auto"/>
        <w:tblInd w:w="180" w:type="dxa"/>
        <w:tblLayout w:type="fixed"/>
        <w:tblLook w:val="04A0" w:firstRow="1" w:lastRow="0" w:firstColumn="1" w:lastColumn="0" w:noHBand="0" w:noVBand="1"/>
      </w:tblPr>
      <w:tblGrid>
        <w:gridCol w:w="400"/>
        <w:gridCol w:w="8740"/>
      </w:tblGrid>
      <w:tr w:rsidR="00EC557F">
        <w:trPr>
          <w:trHeight w:hRule="exact" w:val="718"/>
        </w:trPr>
        <w:tc>
          <w:tcPr>
            <w:tcW w:w="400" w:type="dxa"/>
            <w:tcMar>
              <w:left w:w="0" w:type="dxa"/>
              <w:right w:w="0" w:type="dxa"/>
            </w:tcMar>
          </w:tcPr>
          <w:p w:rsidR="00EC557F" w:rsidRDefault="00422FC7">
            <w:pPr>
              <w:autoSpaceDE w:val="0"/>
              <w:autoSpaceDN w:val="0"/>
              <w:spacing w:before="60" w:after="0" w:line="322" w:lineRule="exact"/>
              <w:jc w:val="center"/>
            </w:pPr>
            <w:r>
              <w:rPr>
                <w:rFonts w:ascii="TimesNewRomanPSMT" w:eastAsia="TimesNewRomanPSMT" w:hAnsi="TimesNewRomanPSMT"/>
                <w:color w:val="000000"/>
                <w:sz w:val="24"/>
              </w:rPr>
              <w:t>•</w:t>
            </w:r>
          </w:p>
        </w:tc>
        <w:tc>
          <w:tcPr>
            <w:tcW w:w="8740" w:type="dxa"/>
            <w:tcMar>
              <w:left w:w="0" w:type="dxa"/>
              <w:right w:w="0" w:type="dxa"/>
            </w:tcMar>
          </w:tcPr>
          <w:p w:rsidR="00EC557F" w:rsidRDefault="00422FC7">
            <w:pPr>
              <w:autoSpaceDE w:val="0"/>
              <w:autoSpaceDN w:val="0"/>
              <w:spacing w:before="106" w:after="0" w:line="276" w:lineRule="exact"/>
              <w:ind w:left="140"/>
            </w:pPr>
            <w:r>
              <w:rPr>
                <w:rFonts w:ascii="TimesNewRomanPSMT" w:eastAsia="TimesNewRomanPSMT" w:hAnsi="TimesNewRomanPSMT"/>
                <w:color w:val="000000"/>
                <w:sz w:val="24"/>
              </w:rPr>
              <w:t xml:space="preserve">OFPP should establish a government-wide acquisition internship program to attract first rate entry level personnel into acquisition careers. </w:t>
            </w:r>
          </w:p>
        </w:tc>
      </w:tr>
    </w:tbl>
    <w:p w:rsidR="00EC557F" w:rsidRDefault="00422FC7">
      <w:pPr>
        <w:autoSpaceDE w:val="0"/>
        <w:autoSpaceDN w:val="0"/>
        <w:spacing w:before="1158" w:after="0" w:line="320" w:lineRule="exact"/>
        <w:ind w:right="70"/>
        <w:jc w:val="right"/>
      </w:pPr>
      <w:r>
        <w:rPr>
          <w:rFonts w:ascii="TimesNewRomanPSMT" w:eastAsia="TimesNewRomanPSMT" w:hAnsi="TimesNewRomanPSMT"/>
          <w:color w:val="000000"/>
          <w:sz w:val="24"/>
        </w:rPr>
        <w:t>8</w:t>
      </w:r>
    </w:p>
    <w:p w:rsidR="00EC557F" w:rsidRDefault="00EC557F">
      <w:pPr>
        <w:sectPr w:rsidR="00EC557F">
          <w:pgSz w:w="12240" w:h="15840"/>
          <w:pgMar w:top="704" w:right="1370" w:bottom="352" w:left="1440" w:header="720" w:footer="720" w:gutter="0"/>
          <w:cols w:space="720"/>
          <w:docGrid w:linePitch="360"/>
        </w:sectPr>
      </w:pPr>
    </w:p>
    <w:p w:rsidR="00EC557F" w:rsidRDefault="00EC557F">
      <w:pPr>
        <w:autoSpaceDE w:val="0"/>
        <w:autoSpaceDN w:val="0"/>
        <w:spacing w:after="900" w:line="220" w:lineRule="exact"/>
      </w:pPr>
    </w:p>
    <w:p w:rsidR="00EC557F" w:rsidRDefault="00422FC7">
      <w:pPr>
        <w:autoSpaceDE w:val="0"/>
        <w:autoSpaceDN w:val="0"/>
        <w:spacing w:after="154" w:line="334" w:lineRule="exact"/>
        <w:ind w:left="360"/>
      </w:pPr>
      <w:r>
        <w:rPr>
          <w:rFonts w:ascii="TimesNewRomanPS" w:eastAsia="TimesNewRomanPS" w:hAnsi="TimesNewRomanPS"/>
          <w:b/>
          <w:color w:val="000000"/>
          <w:sz w:val="24"/>
        </w:rPr>
        <w:t xml:space="preserve">Recommendation #3-2: Hiring Streamlining Necessary </w:t>
      </w:r>
    </w:p>
    <w:tbl>
      <w:tblPr>
        <w:tblW w:w="0" w:type="auto"/>
        <w:tblInd w:w="180" w:type="dxa"/>
        <w:tblLayout w:type="fixed"/>
        <w:tblLook w:val="04A0" w:firstRow="1" w:lastRow="0" w:firstColumn="1" w:lastColumn="0" w:noHBand="0" w:noVBand="1"/>
      </w:tblPr>
      <w:tblGrid>
        <w:gridCol w:w="400"/>
        <w:gridCol w:w="8580"/>
      </w:tblGrid>
      <w:tr w:rsidR="00EC557F">
        <w:trPr>
          <w:trHeight w:hRule="exact" w:val="716"/>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tc>
        <w:tc>
          <w:tcPr>
            <w:tcW w:w="8580" w:type="dxa"/>
            <w:tcMar>
              <w:left w:w="0" w:type="dxa"/>
              <w:right w:w="0" w:type="dxa"/>
            </w:tcMar>
          </w:tcPr>
          <w:p w:rsidR="00EC557F" w:rsidRDefault="00422FC7">
            <w:pPr>
              <w:autoSpaceDE w:val="0"/>
              <w:autoSpaceDN w:val="0"/>
              <w:spacing w:before="104" w:after="0" w:line="276" w:lineRule="exact"/>
              <w:ind w:left="140" w:right="144"/>
            </w:pPr>
            <w:r>
              <w:rPr>
                <w:rFonts w:ascii="TimesNewRomanPSMT" w:eastAsia="TimesNewRomanPSMT" w:hAnsi="TimesNewRomanPSMT"/>
                <w:color w:val="000000"/>
                <w:sz w:val="24"/>
              </w:rPr>
              <w:t xml:space="preserve">In order to compete effectively for desirable personnel, OFPP and agencies need to identify and eliminate obstacles to speedy hiring of acquisition workforce personnel. </w:t>
            </w:r>
          </w:p>
        </w:tc>
      </w:tr>
    </w:tbl>
    <w:p w:rsidR="00EC557F" w:rsidRDefault="00422FC7">
      <w:pPr>
        <w:autoSpaceDE w:val="0"/>
        <w:autoSpaceDN w:val="0"/>
        <w:spacing w:before="176" w:after="154" w:line="334" w:lineRule="exact"/>
        <w:ind w:left="360"/>
      </w:pPr>
      <w:r>
        <w:rPr>
          <w:rFonts w:ascii="TimesNewRomanPS" w:eastAsia="TimesNewRomanPS" w:hAnsi="TimesNewRomanPS"/>
          <w:b/>
          <w:color w:val="000000"/>
          <w:sz w:val="24"/>
        </w:rPr>
        <w:t xml:space="preserve">Recommendation #3-3: Need to Retain Senior Workforce </w:t>
      </w:r>
    </w:p>
    <w:tbl>
      <w:tblPr>
        <w:tblW w:w="0" w:type="auto"/>
        <w:tblInd w:w="180" w:type="dxa"/>
        <w:tblLayout w:type="fixed"/>
        <w:tblLook w:val="04A0" w:firstRow="1" w:lastRow="0" w:firstColumn="1" w:lastColumn="0" w:noHBand="0" w:noVBand="1"/>
      </w:tblPr>
      <w:tblGrid>
        <w:gridCol w:w="400"/>
        <w:gridCol w:w="8640"/>
      </w:tblGrid>
      <w:tr w:rsidR="00EC557F">
        <w:trPr>
          <w:trHeight w:hRule="exact" w:val="716"/>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tc>
        <w:tc>
          <w:tcPr>
            <w:tcW w:w="8640" w:type="dxa"/>
            <w:tcMar>
              <w:left w:w="0" w:type="dxa"/>
              <w:right w:w="0" w:type="dxa"/>
            </w:tcMar>
          </w:tcPr>
          <w:p w:rsidR="00EC557F" w:rsidRDefault="00422FC7">
            <w:pPr>
              <w:autoSpaceDE w:val="0"/>
              <w:autoSpaceDN w:val="0"/>
              <w:spacing w:before="104" w:after="0" w:line="276" w:lineRule="exact"/>
              <w:ind w:left="140" w:right="144"/>
            </w:pPr>
            <w:r>
              <w:rPr>
                <w:rFonts w:ascii="TimesNewRomanPSMT" w:eastAsia="TimesNewRomanPSMT" w:hAnsi="TimesNewRomanPSMT"/>
                <w:color w:val="000000"/>
                <w:sz w:val="24"/>
              </w:rPr>
              <w:t xml:space="preserve">OFPP and agencies need to create and use incentives for qualified senior, experienced acquisition workforce personnel to remain in the acquisition workforce. </w:t>
            </w:r>
          </w:p>
        </w:tc>
      </w:tr>
    </w:tbl>
    <w:p w:rsidR="00EC557F" w:rsidRDefault="00422FC7">
      <w:pPr>
        <w:autoSpaceDE w:val="0"/>
        <w:autoSpaceDN w:val="0"/>
        <w:spacing w:before="176" w:after="154" w:line="334" w:lineRule="exact"/>
        <w:ind w:left="360"/>
      </w:pPr>
      <w:r>
        <w:rPr>
          <w:rFonts w:ascii="TimesNewRomanPS" w:eastAsia="TimesNewRomanPS" w:hAnsi="TimesNewRomanPS"/>
          <w:b/>
          <w:color w:val="000000"/>
          <w:sz w:val="24"/>
        </w:rPr>
        <w:t xml:space="preserve">Recommendation #3-4: Training </w:t>
      </w:r>
    </w:p>
    <w:tbl>
      <w:tblPr>
        <w:tblW w:w="0" w:type="auto"/>
        <w:tblInd w:w="180" w:type="dxa"/>
        <w:tblLayout w:type="fixed"/>
        <w:tblLook w:val="04A0" w:firstRow="1" w:lastRow="0" w:firstColumn="1" w:lastColumn="0" w:noHBand="0" w:noVBand="1"/>
      </w:tblPr>
      <w:tblGrid>
        <w:gridCol w:w="400"/>
        <w:gridCol w:w="8840"/>
      </w:tblGrid>
      <w:tr w:rsidR="00EC557F">
        <w:trPr>
          <w:trHeight w:hRule="exact" w:val="4856"/>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p w:rsidR="00EC557F" w:rsidRDefault="00422FC7">
            <w:pPr>
              <w:autoSpaceDE w:val="0"/>
              <w:autoSpaceDN w:val="0"/>
              <w:spacing w:before="2164" w:after="0" w:line="320" w:lineRule="exact"/>
              <w:jc w:val="center"/>
            </w:pPr>
            <w:r>
              <w:rPr>
                <w:rFonts w:ascii="TimesNewRomanPSMT" w:eastAsia="TimesNewRomanPSMT" w:hAnsi="TimesNewRomanPSMT"/>
                <w:color w:val="000000"/>
                <w:sz w:val="24"/>
              </w:rPr>
              <w:t>•</w:t>
            </w:r>
          </w:p>
          <w:p w:rsidR="00EC557F" w:rsidRDefault="00422FC7">
            <w:pPr>
              <w:autoSpaceDE w:val="0"/>
              <w:autoSpaceDN w:val="0"/>
              <w:spacing w:before="1334" w:after="0" w:line="322" w:lineRule="exact"/>
              <w:jc w:val="center"/>
            </w:pPr>
            <w:r>
              <w:rPr>
                <w:rFonts w:ascii="TimesNewRomanPSMT" w:eastAsia="TimesNewRomanPSMT" w:hAnsi="TimesNewRomanPSMT"/>
                <w:color w:val="000000"/>
                <w:sz w:val="24"/>
              </w:rPr>
              <w:t>•</w:t>
            </w:r>
          </w:p>
        </w:tc>
        <w:tc>
          <w:tcPr>
            <w:tcW w:w="8840" w:type="dxa"/>
            <w:tcMar>
              <w:left w:w="0" w:type="dxa"/>
              <w:right w:w="0" w:type="dxa"/>
            </w:tcMar>
          </w:tcPr>
          <w:p w:rsidR="00EC557F" w:rsidRDefault="00422FC7">
            <w:pPr>
              <w:tabs>
                <w:tab w:val="left" w:pos="500"/>
              </w:tabs>
              <w:autoSpaceDE w:val="0"/>
              <w:autoSpaceDN w:val="0"/>
              <w:spacing w:before="104" w:after="0" w:line="276" w:lineRule="exact"/>
              <w:ind w:left="140"/>
            </w:pPr>
            <w:r>
              <w:rPr>
                <w:rFonts w:ascii="TimesNewRomanPSMT" w:eastAsia="TimesNewRomanPSMT" w:hAnsi="TimesNewRomanPSMT"/>
                <w:color w:val="000000"/>
                <w:sz w:val="24"/>
              </w:rPr>
              <w:t xml:space="preserve">In order to ensure the availability of sufficient funds to provide training to the Acquisition Workforce OMB should issue guidance directing agencies to: </w:t>
            </w:r>
            <w:r>
              <w:br/>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Assure that funds in agency budgets identified for Acquisition Workforce training are </w:t>
            </w:r>
            <w:r>
              <w:tab/>
            </w:r>
            <w:r>
              <w:rPr>
                <w:rFonts w:ascii="TimesNewRomanPSMT" w:eastAsia="TimesNewRomanPSMT" w:hAnsi="TimesNewRomanPSMT"/>
                <w:color w:val="000000"/>
                <w:sz w:val="24"/>
              </w:rPr>
              <w:t xml:space="preserve">actually expended for workforce training purposes, by appropriate means including </w:t>
            </w:r>
            <w:r>
              <w:tab/>
            </w:r>
            <w:r>
              <w:rPr>
                <w:rFonts w:ascii="TimesNewRomanPSMT" w:eastAsia="TimesNewRomanPSMT" w:hAnsi="TimesNewRomanPSMT"/>
                <w:color w:val="000000"/>
                <w:sz w:val="24"/>
              </w:rPr>
              <w:t xml:space="preserve">“fencing” of those funds. </w:t>
            </w:r>
          </w:p>
          <w:p w:rsidR="00EC557F" w:rsidRDefault="00422FC7">
            <w:pPr>
              <w:tabs>
                <w:tab w:val="left" w:pos="500"/>
              </w:tabs>
              <w:autoSpaceDE w:val="0"/>
              <w:autoSpaceDN w:val="0"/>
              <w:spacing w:before="44" w:after="0" w:line="276" w:lineRule="exact"/>
              <w:ind w:left="140"/>
            </w:pP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Require Head of Agency approval for use of workforce training funds for any other </w:t>
            </w:r>
            <w:r>
              <w:tab/>
            </w:r>
            <w:r>
              <w:rPr>
                <w:rFonts w:ascii="TimesNewRomanPSMT" w:eastAsia="TimesNewRomanPSMT" w:hAnsi="TimesNewRomanPSMT"/>
                <w:color w:val="000000"/>
                <w:sz w:val="24"/>
              </w:rPr>
              <w:t xml:space="preserve">purpose </w:t>
            </w:r>
            <w:r>
              <w:br/>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Provide OFPP an annual report on the expenditure of Acquisition Workforce Training </w:t>
            </w:r>
            <w:r>
              <w:tab/>
            </w:r>
            <w:r>
              <w:rPr>
                <w:rFonts w:ascii="TimesNewRomanPSMT" w:eastAsia="TimesNewRomanPSMT" w:hAnsi="TimesNewRomanPSMT"/>
                <w:color w:val="000000"/>
                <w:sz w:val="24"/>
              </w:rPr>
              <w:t xml:space="preserve">Funds identifying any excesses or shortfalls </w:t>
            </w:r>
            <w:r>
              <w:br/>
            </w:r>
            <w:r>
              <w:rPr>
                <w:rFonts w:ascii="TimesNewRomanPSMT" w:eastAsia="TimesNewRomanPSMT" w:hAnsi="TimesNewRomanPSMT"/>
                <w:color w:val="000000"/>
                <w:sz w:val="24"/>
              </w:rPr>
              <w:t>OFPP should conduct an annual review to determine whether the funds identified by each agency for training of its acquisition workforce are sufficient to meet the agency’s needs for acquisition workforce training. Once an agency’s human capital strategic plan for the acquisition workfor</w:t>
            </w:r>
            <w:r>
              <w:rPr>
                <w:rFonts w:ascii="TimesNewRomanPSMT" w:eastAsia="TimesNewRomanPSMT" w:hAnsi="TimesNewRomanPSMT"/>
                <w:color w:val="000000"/>
                <w:sz w:val="24"/>
              </w:rPr>
              <w:t xml:space="preserve">ce is in place, that plan should guide this determination.  OFPP’s review should also ascertain whether funds identified for such training were actually expended for Acquisition Workforce training needs. </w:t>
            </w:r>
          </w:p>
          <w:p w:rsidR="00EC557F" w:rsidRDefault="00422FC7">
            <w:pPr>
              <w:autoSpaceDE w:val="0"/>
              <w:autoSpaceDN w:val="0"/>
              <w:spacing w:before="46" w:after="0" w:line="276" w:lineRule="exact"/>
              <w:ind w:left="140" w:right="1584"/>
            </w:pPr>
            <w:r>
              <w:rPr>
                <w:rFonts w:ascii="TimesNewRomanPSMT" w:eastAsia="TimesNewRomanPSMT" w:hAnsi="TimesNewRomanPSMT"/>
                <w:color w:val="000000"/>
                <w:sz w:val="24"/>
              </w:rPr>
              <w:t xml:space="preserve">Congress should reauthorize the SARA Training Fund and provide direct funding/appropriations for the fund. </w:t>
            </w:r>
          </w:p>
        </w:tc>
      </w:tr>
    </w:tbl>
    <w:p w:rsidR="00EC557F" w:rsidRDefault="00422FC7">
      <w:pPr>
        <w:autoSpaceDE w:val="0"/>
        <w:autoSpaceDN w:val="0"/>
        <w:spacing w:before="176" w:after="154" w:line="332" w:lineRule="exact"/>
        <w:jc w:val="center"/>
      </w:pPr>
      <w:r>
        <w:rPr>
          <w:rFonts w:ascii="TimesNewRomanPS" w:eastAsia="TimesNewRomanPS" w:hAnsi="TimesNewRomanPS"/>
          <w:b/>
          <w:color w:val="000000"/>
          <w:sz w:val="24"/>
        </w:rPr>
        <w:t xml:space="preserve">Recommendation #3-5: Acquisition Workforce Education &amp; Training Requirements </w:t>
      </w:r>
    </w:p>
    <w:tbl>
      <w:tblPr>
        <w:tblW w:w="0" w:type="auto"/>
        <w:tblInd w:w="180" w:type="dxa"/>
        <w:tblLayout w:type="fixed"/>
        <w:tblLook w:val="04A0" w:firstRow="1" w:lastRow="0" w:firstColumn="1" w:lastColumn="0" w:noHBand="0" w:noVBand="1"/>
      </w:tblPr>
      <w:tblGrid>
        <w:gridCol w:w="400"/>
        <w:gridCol w:w="8840"/>
      </w:tblGrid>
      <w:tr w:rsidR="00EC557F">
        <w:trPr>
          <w:trHeight w:hRule="exact" w:val="3202"/>
        </w:trPr>
        <w:tc>
          <w:tcPr>
            <w:tcW w:w="400" w:type="dxa"/>
            <w:tcMar>
              <w:left w:w="0" w:type="dxa"/>
              <w:right w:w="0" w:type="dxa"/>
            </w:tcMar>
          </w:tcPr>
          <w:p w:rsidR="00EC557F" w:rsidRDefault="00422FC7">
            <w:pPr>
              <w:autoSpaceDE w:val="0"/>
              <w:autoSpaceDN w:val="0"/>
              <w:spacing w:before="60" w:after="0" w:line="322" w:lineRule="exact"/>
              <w:jc w:val="center"/>
            </w:pPr>
            <w:r>
              <w:rPr>
                <w:rFonts w:ascii="TimesNewRomanPSMT" w:eastAsia="TimesNewRomanPSMT" w:hAnsi="TimesNewRomanPSMT"/>
                <w:color w:val="000000"/>
                <w:sz w:val="24"/>
              </w:rPr>
              <w:t>•</w:t>
            </w:r>
          </w:p>
        </w:tc>
        <w:tc>
          <w:tcPr>
            <w:tcW w:w="8840" w:type="dxa"/>
            <w:tcMar>
              <w:left w:w="0" w:type="dxa"/>
              <w:right w:w="0" w:type="dxa"/>
            </w:tcMar>
          </w:tcPr>
          <w:p w:rsidR="00EC557F" w:rsidRDefault="00422FC7">
            <w:pPr>
              <w:tabs>
                <w:tab w:val="left" w:pos="500"/>
              </w:tabs>
              <w:autoSpaceDE w:val="0"/>
              <w:autoSpaceDN w:val="0"/>
              <w:spacing w:before="106" w:after="0" w:line="276" w:lineRule="exact"/>
              <w:ind w:left="140"/>
            </w:pPr>
            <w:r>
              <w:rPr>
                <w:rFonts w:ascii="TimesNewRomanPSMT" w:eastAsia="TimesNewRomanPSMT" w:hAnsi="TimesNewRomanPSMT"/>
                <w:color w:val="000000"/>
                <w:sz w:val="24"/>
              </w:rPr>
              <w:t xml:space="preserve">Currently both DAWIA and Clinger-Cohen provide for waivers to Congressionally established education and training requirements.  In order to ensure that the government’s Acquisition Workforce has both the competencies and skills to manage the life-cycle of the acquisition process </w:t>
            </w:r>
            <w:r>
              <w:br/>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Agencies should only grant permanent waivers to education and training requirements </w:t>
            </w:r>
            <w:r>
              <w:tab/>
            </w:r>
            <w:r>
              <w:rPr>
                <w:rFonts w:ascii="TimesNewRomanPSMT" w:eastAsia="TimesNewRomanPSMT" w:hAnsi="TimesNewRomanPSMT"/>
                <w:color w:val="000000"/>
                <w:sz w:val="24"/>
              </w:rPr>
              <w:t xml:space="preserve">upon an objective demonstration that the grantee of the waiver possesses the </w:t>
            </w:r>
            <w:r>
              <w:br/>
            </w:r>
            <w:r>
              <w:tab/>
            </w:r>
            <w:r>
              <w:rPr>
                <w:rFonts w:ascii="TimesNewRomanPSMT" w:eastAsia="TimesNewRomanPSMT" w:hAnsi="TimesNewRomanPSMT"/>
                <w:color w:val="000000"/>
                <w:sz w:val="24"/>
              </w:rPr>
              <w:t xml:space="preserve">competencies and skills necessary to perform his/her duties. </w:t>
            </w:r>
          </w:p>
          <w:p w:rsidR="00EC557F" w:rsidRDefault="00422FC7">
            <w:pPr>
              <w:tabs>
                <w:tab w:val="left" w:pos="500"/>
              </w:tabs>
              <w:autoSpaceDE w:val="0"/>
              <w:autoSpaceDN w:val="0"/>
              <w:spacing w:before="46" w:after="0" w:line="276" w:lineRule="exact"/>
              <w:ind w:left="140"/>
            </w:pP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Agencies should only grant temporary waivers to allow the grantee of the waiver </w:t>
            </w:r>
            <w:r>
              <w:tab/>
            </w:r>
            <w:r>
              <w:rPr>
                <w:rFonts w:ascii="TimesNewRomanPSMT" w:eastAsia="TimesNewRomanPSMT" w:hAnsi="TimesNewRomanPSMT"/>
                <w:color w:val="000000"/>
                <w:sz w:val="24"/>
              </w:rPr>
              <w:t xml:space="preserve">sufficient time to acquire the lacking education or training </w:t>
            </w:r>
            <w:r>
              <w:br/>
            </w:r>
            <w:r>
              <w:rPr>
                <w:rFonts w:ascii="TimesNewRomanPSMT" w:eastAsia="TimesNewRomanPSMT" w:hAnsi="TimesNewRomanPSMT"/>
                <w:color w:val="000000"/>
                <w:sz w:val="24"/>
              </w:rPr>
              <w:t>-</w:t>
            </w:r>
            <w:r>
              <w:tab/>
            </w:r>
            <w:r>
              <w:rPr>
                <w:rFonts w:ascii="TimesNewRomanPSMT" w:eastAsia="TimesNewRomanPSMT" w:hAnsi="TimesNewRomanPSMT"/>
                <w:color w:val="000000"/>
                <w:sz w:val="24"/>
              </w:rPr>
              <w:t xml:space="preserve">Agency CAOs (or equivalent) should report annually to OFPP on the agency’s usage </w:t>
            </w:r>
            <w:r>
              <w:tab/>
            </w:r>
            <w:r>
              <w:rPr>
                <w:rFonts w:ascii="TimesNewRomanPSMT" w:eastAsia="TimesNewRomanPSMT" w:hAnsi="TimesNewRomanPSMT"/>
                <w:color w:val="000000"/>
                <w:sz w:val="24"/>
              </w:rPr>
              <w:t xml:space="preserve">of waivers to meet statutory training and education requirements, justifying their </w:t>
            </w:r>
          </w:p>
        </w:tc>
      </w:tr>
    </w:tbl>
    <w:p w:rsidR="00EC557F" w:rsidRDefault="00422FC7">
      <w:pPr>
        <w:autoSpaceDE w:val="0"/>
        <w:autoSpaceDN w:val="0"/>
        <w:spacing w:before="606" w:after="0" w:line="320" w:lineRule="exact"/>
        <w:ind w:right="80"/>
        <w:jc w:val="right"/>
      </w:pPr>
      <w:r>
        <w:rPr>
          <w:rFonts w:ascii="TimesNewRomanPSMT" w:eastAsia="TimesNewRomanPSMT" w:hAnsi="TimesNewRomanPSMT"/>
          <w:color w:val="000000"/>
          <w:sz w:val="24"/>
        </w:rPr>
        <w:t>9</w:t>
      </w:r>
    </w:p>
    <w:p w:rsidR="00EC557F" w:rsidRDefault="00EC557F">
      <w:pPr>
        <w:sectPr w:rsidR="00EC557F">
          <w:pgSz w:w="12240" w:h="15840"/>
          <w:pgMar w:top="1120" w:right="1360" w:bottom="352" w:left="1440" w:header="720" w:footer="720" w:gutter="0"/>
          <w:cols w:space="720"/>
          <w:docGrid w:linePitch="360"/>
        </w:sectPr>
      </w:pPr>
    </w:p>
    <w:p w:rsidR="00EC557F" w:rsidRDefault="00EC557F">
      <w:pPr>
        <w:autoSpaceDE w:val="0"/>
        <w:autoSpaceDN w:val="0"/>
        <w:spacing w:after="484" w:line="220" w:lineRule="exact"/>
      </w:pPr>
    </w:p>
    <w:tbl>
      <w:tblPr>
        <w:tblW w:w="0" w:type="auto"/>
        <w:tblInd w:w="360" w:type="dxa"/>
        <w:tblLayout w:type="fixed"/>
        <w:tblLook w:val="04A0" w:firstRow="1" w:lastRow="0" w:firstColumn="1" w:lastColumn="0" w:noHBand="0" w:noVBand="1"/>
      </w:tblPr>
      <w:tblGrid>
        <w:gridCol w:w="580"/>
        <w:gridCol w:w="8440"/>
      </w:tblGrid>
      <w:tr w:rsidR="00EC557F">
        <w:trPr>
          <w:trHeight w:hRule="exact" w:val="1208"/>
        </w:trPr>
        <w:tc>
          <w:tcPr>
            <w:tcW w:w="580" w:type="dxa"/>
            <w:tcMar>
              <w:left w:w="0" w:type="dxa"/>
              <w:right w:w="0" w:type="dxa"/>
            </w:tcMar>
          </w:tcPr>
          <w:p w:rsidR="00EC557F" w:rsidRDefault="00422FC7">
            <w:pPr>
              <w:autoSpaceDE w:val="0"/>
              <w:autoSpaceDN w:val="0"/>
              <w:spacing w:before="552" w:after="0" w:line="320" w:lineRule="exact"/>
              <w:ind w:right="140"/>
              <w:jc w:val="right"/>
            </w:pPr>
            <w:r>
              <w:rPr>
                <w:rFonts w:ascii="TimesNewRomanPSMT" w:eastAsia="TimesNewRomanPSMT" w:hAnsi="TimesNewRomanPSMT"/>
                <w:color w:val="000000"/>
                <w:sz w:val="24"/>
              </w:rPr>
              <w:t>-</w:t>
            </w:r>
          </w:p>
        </w:tc>
        <w:tc>
          <w:tcPr>
            <w:tcW w:w="8440" w:type="dxa"/>
            <w:tcMar>
              <w:left w:w="0" w:type="dxa"/>
              <w:right w:w="0" w:type="dxa"/>
            </w:tcMar>
          </w:tcPr>
          <w:p w:rsidR="00EC557F" w:rsidRDefault="00422FC7">
            <w:pPr>
              <w:autoSpaceDE w:val="0"/>
              <w:autoSpaceDN w:val="0"/>
              <w:spacing w:before="44" w:after="0" w:line="276" w:lineRule="exact"/>
              <w:ind w:left="140"/>
            </w:pPr>
            <w:r>
              <w:rPr>
                <w:rFonts w:ascii="TimesNewRomanPSMT" w:eastAsia="TimesNewRomanPSMT" w:hAnsi="TimesNewRomanPSMT"/>
                <w:color w:val="000000"/>
                <w:sz w:val="24"/>
              </w:rPr>
              <w:t xml:space="preserve">usage consistent with the foregoing requirements, and reporting on plans to overcome the need to rely excessively on waivers </w:t>
            </w:r>
            <w:r>
              <w:br/>
            </w:r>
            <w:r>
              <w:rPr>
                <w:rFonts w:ascii="TimesNewRomanPSMT" w:eastAsia="TimesNewRomanPSMT" w:hAnsi="TimesNewRomanPSMT"/>
                <w:color w:val="000000"/>
                <w:sz w:val="24"/>
              </w:rPr>
              <w:t xml:space="preserve">OFPP should review these annual reports, and provide annual summary report on the use of waivers of DAWIA and Clinger-Cohen requirements. </w:t>
            </w:r>
          </w:p>
        </w:tc>
      </w:tr>
    </w:tbl>
    <w:p w:rsidR="00EC557F" w:rsidRDefault="00422FC7">
      <w:pPr>
        <w:autoSpaceDE w:val="0"/>
        <w:autoSpaceDN w:val="0"/>
        <w:spacing w:before="176" w:after="154" w:line="334" w:lineRule="exact"/>
        <w:ind w:left="360"/>
      </w:pPr>
      <w:r>
        <w:rPr>
          <w:rFonts w:ascii="TimesNewRomanPS" w:eastAsia="TimesNewRomanPS" w:hAnsi="TimesNewRomanPS"/>
          <w:b/>
          <w:color w:val="000000"/>
          <w:sz w:val="24"/>
        </w:rPr>
        <w:t xml:space="preserve">Recommendation (Adopted but remains to be numbered) </w:t>
      </w:r>
    </w:p>
    <w:tbl>
      <w:tblPr>
        <w:tblW w:w="0" w:type="auto"/>
        <w:tblInd w:w="180" w:type="dxa"/>
        <w:tblLayout w:type="fixed"/>
        <w:tblLook w:val="04A0" w:firstRow="1" w:lastRow="0" w:firstColumn="1" w:lastColumn="0" w:noHBand="0" w:noVBand="1"/>
      </w:tblPr>
      <w:tblGrid>
        <w:gridCol w:w="400"/>
        <w:gridCol w:w="8820"/>
      </w:tblGrid>
      <w:tr w:rsidR="00EC557F">
        <w:trPr>
          <w:trHeight w:hRule="exact" w:val="1268"/>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tc>
        <w:tc>
          <w:tcPr>
            <w:tcW w:w="882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To the extent that agencies can demonstrate that they have implemented any </w:t>
            </w:r>
            <w:r>
              <w:br/>
            </w:r>
            <w:r>
              <w:rPr>
                <w:rFonts w:ascii="TimesNewRomanPSMT" w:eastAsia="TimesNewRomanPSMT" w:hAnsi="TimesNewRomanPSMT"/>
                <w:color w:val="000000"/>
                <w:sz w:val="24"/>
              </w:rPr>
              <w:t>recommendations (or parts thereof) that require a report to OFPP, the process established by OFPP should include criteria for a waiver from the reporting requirements; any waiver should include a requirement for a sunset.</w:t>
            </w:r>
          </w:p>
        </w:tc>
      </w:tr>
    </w:tbl>
    <w:p w:rsidR="00EC557F" w:rsidRDefault="00422FC7">
      <w:pPr>
        <w:autoSpaceDE w:val="0"/>
        <w:autoSpaceDN w:val="0"/>
        <w:spacing w:before="176" w:after="154" w:line="334" w:lineRule="exact"/>
        <w:ind w:left="360"/>
      </w:pPr>
      <w:r>
        <w:rPr>
          <w:rFonts w:ascii="TimesNewRomanPS" w:eastAsia="TimesNewRomanPS" w:hAnsi="TimesNewRomanPS"/>
          <w:b/>
          <w:color w:val="000000"/>
          <w:sz w:val="24"/>
        </w:rPr>
        <w:t xml:space="preserve">Recommendation #3.6: Acquisition Workforce University </w:t>
      </w:r>
    </w:p>
    <w:tbl>
      <w:tblPr>
        <w:tblW w:w="0" w:type="auto"/>
        <w:tblInd w:w="180" w:type="dxa"/>
        <w:tblLayout w:type="fixed"/>
        <w:tblLook w:val="04A0" w:firstRow="1" w:lastRow="0" w:firstColumn="1" w:lastColumn="0" w:noHBand="0" w:noVBand="1"/>
      </w:tblPr>
      <w:tblGrid>
        <w:gridCol w:w="400"/>
        <w:gridCol w:w="8820"/>
      </w:tblGrid>
      <w:tr w:rsidR="00EC557F">
        <w:trPr>
          <w:trHeight w:hRule="exact" w:val="1268"/>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tc>
        <w:tc>
          <w:tcPr>
            <w:tcW w:w="882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In order to promote consistent quality, efficiency and effectiveness in the use of </w:t>
            </w:r>
            <w:r>
              <w:br/>
            </w:r>
            <w:r>
              <w:rPr>
                <w:rFonts w:ascii="TimesNewRomanPSMT" w:eastAsia="TimesNewRomanPSMT" w:hAnsi="TimesNewRomanPSMT"/>
                <w:color w:val="000000"/>
                <w:sz w:val="24"/>
              </w:rPr>
              <w:t xml:space="preserve">government training funds, OFPP should convene a 12 month study panel to consider whether to establish a government-wide Federal Acquisition University and/or alternative recommendations to improve training. </w:t>
            </w:r>
          </w:p>
        </w:tc>
      </w:tr>
    </w:tbl>
    <w:p w:rsidR="00EC557F" w:rsidRDefault="00422FC7">
      <w:pPr>
        <w:autoSpaceDE w:val="0"/>
        <w:autoSpaceDN w:val="0"/>
        <w:spacing w:before="176" w:after="154" w:line="334" w:lineRule="exact"/>
      </w:pPr>
      <w:r>
        <w:rPr>
          <w:rFonts w:ascii="TimesNewRomanPS" w:eastAsia="TimesNewRomanPS" w:hAnsi="TimesNewRomanPS"/>
          <w:b/>
          <w:color w:val="000000"/>
          <w:sz w:val="24"/>
        </w:rPr>
        <w:t xml:space="preserve">Recommendation #4: An Acquisition Workforce Focus is Needed in OFPP </w:t>
      </w:r>
    </w:p>
    <w:tbl>
      <w:tblPr>
        <w:tblW w:w="0" w:type="auto"/>
        <w:tblLayout w:type="fixed"/>
        <w:tblLook w:val="04A0" w:firstRow="1" w:lastRow="0" w:firstColumn="1" w:lastColumn="0" w:noHBand="0" w:noVBand="1"/>
      </w:tblPr>
      <w:tblGrid>
        <w:gridCol w:w="220"/>
        <w:gridCol w:w="9160"/>
      </w:tblGrid>
      <w:tr w:rsidR="00EC557F">
        <w:trPr>
          <w:trHeight w:hRule="exact" w:val="2096"/>
        </w:trPr>
        <w:tc>
          <w:tcPr>
            <w:tcW w:w="220" w:type="dxa"/>
            <w:tcMar>
              <w:left w:w="0" w:type="dxa"/>
              <w:right w:w="0" w:type="dxa"/>
            </w:tcMar>
          </w:tcPr>
          <w:p w:rsidR="00EC557F" w:rsidRDefault="00422FC7">
            <w:pPr>
              <w:autoSpaceDE w:val="0"/>
              <w:autoSpaceDN w:val="0"/>
              <w:spacing w:before="60" w:after="0" w:line="320" w:lineRule="exact"/>
            </w:pPr>
            <w:r>
              <w:rPr>
                <w:rFonts w:ascii="TimesNewRomanPSMT" w:eastAsia="TimesNewRomanPSMT" w:hAnsi="TimesNewRomanPSMT"/>
                <w:color w:val="000000"/>
                <w:sz w:val="24"/>
              </w:rPr>
              <w:t>-</w:t>
            </w:r>
          </w:p>
          <w:p w:rsidR="00EC557F" w:rsidRDefault="00422FC7">
            <w:pPr>
              <w:autoSpaceDE w:val="0"/>
              <w:autoSpaceDN w:val="0"/>
              <w:spacing w:before="508" w:after="0" w:line="320" w:lineRule="exact"/>
            </w:pPr>
            <w:r>
              <w:rPr>
                <w:rFonts w:ascii="TimesNewRomanPSMT" w:eastAsia="TimesNewRomanPSMT" w:hAnsi="TimesNewRomanPSMT"/>
                <w:color w:val="000000"/>
                <w:sz w:val="24"/>
              </w:rPr>
              <w:t>-</w:t>
            </w:r>
          </w:p>
        </w:tc>
        <w:tc>
          <w:tcPr>
            <w:tcW w:w="9160" w:type="dxa"/>
            <w:tcMar>
              <w:left w:w="0" w:type="dxa"/>
              <w:right w:w="0" w:type="dxa"/>
            </w:tcMar>
          </w:tcPr>
          <w:p w:rsidR="00EC557F" w:rsidRDefault="00422FC7">
            <w:pPr>
              <w:autoSpaceDE w:val="0"/>
              <w:autoSpaceDN w:val="0"/>
              <w:spacing w:before="104" w:after="0" w:line="276" w:lineRule="exact"/>
              <w:ind w:left="140" w:right="144"/>
            </w:pPr>
            <w:r>
              <w:rPr>
                <w:rFonts w:ascii="TimesNewRomanPSMT" w:eastAsia="TimesNewRomanPSMT" w:hAnsi="TimesNewRomanPSMT"/>
                <w:color w:val="000000"/>
                <w:sz w:val="24"/>
              </w:rPr>
              <w:t xml:space="preserve">There should be established in the Office of Federal Procurement Policy a senior executive with responsibility for Acquisition Workforce Policy throughout the federal government. </w:t>
            </w:r>
          </w:p>
          <w:p w:rsidR="00EC557F" w:rsidRDefault="00422FC7">
            <w:pPr>
              <w:autoSpaceDE w:val="0"/>
              <w:autoSpaceDN w:val="0"/>
              <w:spacing w:before="276" w:after="0" w:line="276" w:lineRule="exact"/>
              <w:ind w:left="140"/>
            </w:pPr>
            <w:r>
              <w:rPr>
                <w:rFonts w:ascii="TimesNewRomanPSMT" w:eastAsia="TimesNewRomanPSMT" w:hAnsi="TimesNewRomanPSMT"/>
                <w:color w:val="000000"/>
                <w:sz w:val="24"/>
              </w:rPr>
              <w:t xml:space="preserve">As part of OMB’s role in reviewing and approving agency Human Capital Plans in </w:t>
            </w:r>
            <w:r>
              <w:br/>
            </w:r>
            <w:r>
              <w:rPr>
                <w:rFonts w:ascii="TimesNewRomanPSMT" w:eastAsia="TimesNewRomanPSMT" w:hAnsi="TimesNewRomanPSMT"/>
                <w:color w:val="000000"/>
                <w:sz w:val="24"/>
              </w:rPr>
              <w:t xml:space="preserve">conjunction with OPM, OFPP should be delegated responsibility for receiving and reviewing the agency Acquisition Workforce Human Capital Strategic Plans, and for identifying trends, good practices and shortcomings. </w:t>
            </w:r>
          </w:p>
        </w:tc>
      </w:tr>
    </w:tbl>
    <w:p w:rsidR="00EC557F" w:rsidRDefault="00422FC7">
      <w:pPr>
        <w:autoSpaceDE w:val="0"/>
        <w:autoSpaceDN w:val="0"/>
        <w:spacing w:before="228" w:after="0" w:line="276" w:lineRule="exact"/>
        <w:ind w:right="576"/>
      </w:pPr>
      <w:r>
        <w:rPr>
          <w:rFonts w:ascii="TimesNewRomanPS" w:eastAsia="TimesNewRomanPS" w:hAnsi="TimesNewRomanPS"/>
          <w:b/>
          <w:i/>
          <w:color w:val="000000"/>
          <w:sz w:val="24"/>
        </w:rPr>
        <w:t xml:space="preserve">The following Recommendations were deferred to the “Appropriate Role of Contractors Supporting the Government” Working Group </w:t>
      </w:r>
    </w:p>
    <w:p w:rsidR="00EC557F" w:rsidRDefault="00422FC7">
      <w:pPr>
        <w:autoSpaceDE w:val="0"/>
        <w:autoSpaceDN w:val="0"/>
        <w:spacing w:before="224" w:after="154" w:line="332" w:lineRule="exact"/>
        <w:ind w:left="360"/>
      </w:pPr>
      <w:r>
        <w:rPr>
          <w:rFonts w:ascii="TimesNewRomanPS" w:eastAsia="TimesNewRomanPS" w:hAnsi="TimesNewRomanPS"/>
          <w:b/>
          <w:color w:val="000000"/>
          <w:sz w:val="24"/>
        </w:rPr>
        <w:t xml:space="preserve">Recommendation #5-1: Blended Workforce </w:t>
      </w:r>
    </w:p>
    <w:tbl>
      <w:tblPr>
        <w:tblW w:w="0" w:type="auto"/>
        <w:tblInd w:w="180" w:type="dxa"/>
        <w:tblLayout w:type="fixed"/>
        <w:tblLook w:val="04A0" w:firstRow="1" w:lastRow="0" w:firstColumn="1" w:lastColumn="0" w:noHBand="0" w:noVBand="1"/>
      </w:tblPr>
      <w:tblGrid>
        <w:gridCol w:w="400"/>
        <w:gridCol w:w="8720"/>
      </w:tblGrid>
      <w:tr w:rsidR="00EC557F">
        <w:trPr>
          <w:trHeight w:hRule="exact" w:val="1822"/>
        </w:trPr>
        <w:tc>
          <w:tcPr>
            <w:tcW w:w="400" w:type="dxa"/>
            <w:tcMar>
              <w:left w:w="0" w:type="dxa"/>
              <w:right w:w="0" w:type="dxa"/>
            </w:tcMar>
          </w:tcPr>
          <w:p w:rsidR="00EC557F" w:rsidRDefault="00422FC7">
            <w:pPr>
              <w:autoSpaceDE w:val="0"/>
              <w:autoSpaceDN w:val="0"/>
              <w:spacing w:before="60" w:after="0" w:line="322" w:lineRule="exact"/>
              <w:jc w:val="center"/>
            </w:pPr>
            <w:r>
              <w:rPr>
                <w:rFonts w:ascii="TimesNewRomanPSMT" w:eastAsia="TimesNewRomanPSMT" w:hAnsi="TimesNewRomanPSMT"/>
                <w:color w:val="000000"/>
                <w:sz w:val="24"/>
              </w:rPr>
              <w:t>•</w:t>
            </w:r>
          </w:p>
        </w:tc>
        <w:tc>
          <w:tcPr>
            <w:tcW w:w="8720" w:type="dxa"/>
            <w:tcMar>
              <w:left w:w="0" w:type="dxa"/>
              <w:right w:w="0" w:type="dxa"/>
            </w:tcMar>
          </w:tcPr>
          <w:p w:rsidR="00EC557F" w:rsidRDefault="00422FC7">
            <w:pPr>
              <w:tabs>
                <w:tab w:val="left" w:pos="500"/>
                <w:tab w:val="left" w:pos="860"/>
              </w:tabs>
              <w:autoSpaceDE w:val="0"/>
              <w:autoSpaceDN w:val="0"/>
              <w:spacing w:before="106" w:after="0" w:line="276" w:lineRule="exact"/>
              <w:ind w:left="140"/>
            </w:pPr>
            <w:r>
              <w:rPr>
                <w:rFonts w:ascii="TimesNewRomanPSMT" w:eastAsia="TimesNewRomanPSMT" w:hAnsi="TimesNewRomanPSMT"/>
                <w:color w:val="000000"/>
                <w:sz w:val="24"/>
              </w:rPr>
              <w:t xml:space="preserve">Consistent with the framework of the findings and recommendations of the Appropriate Role working group, agencies need to retain the core capabilities to: </w:t>
            </w:r>
            <w:r>
              <w:br/>
            </w:r>
            <w:r>
              <w:tab/>
            </w:r>
            <w:r>
              <w:rPr>
                <w:rFonts w:ascii="TimesNewRomanPSMT" w:eastAsia="TimesNewRomanPSMT" w:hAnsi="TimesNewRomanPSMT"/>
                <w:color w:val="000000"/>
                <w:sz w:val="24"/>
              </w:rPr>
              <w:t xml:space="preserve">–Determine their requirements </w:t>
            </w:r>
            <w:r>
              <w:br/>
            </w:r>
            <w:r>
              <w:tab/>
            </w:r>
            <w:r>
              <w:rPr>
                <w:rFonts w:ascii="TimesNewRomanPSMT" w:eastAsia="TimesNewRomanPSMT" w:hAnsi="TimesNewRomanPSMT"/>
                <w:color w:val="000000"/>
                <w:sz w:val="24"/>
              </w:rPr>
              <w:t xml:space="preserve">–Select contractors </w:t>
            </w:r>
            <w:r>
              <w:br/>
            </w:r>
            <w:r>
              <w:tab/>
            </w:r>
            <w:r>
              <w:rPr>
                <w:rFonts w:ascii="TimesNewRomanPSMT" w:eastAsia="TimesNewRomanPSMT" w:hAnsi="TimesNewRomanPSMT"/>
                <w:color w:val="000000"/>
                <w:sz w:val="24"/>
              </w:rPr>
              <w:t xml:space="preserve">–Oversee contract performance </w:t>
            </w:r>
            <w:r>
              <w:br/>
            </w:r>
            <w:r>
              <w:tab/>
            </w:r>
            <w:r>
              <w:tab/>
            </w:r>
            <w:r>
              <w:rPr>
                <w:rFonts w:ascii="TimesNewRomanPSMT" w:eastAsia="TimesNewRomanPSMT" w:hAnsi="TimesNewRomanPSMT"/>
                <w:color w:val="000000"/>
                <w:sz w:val="24"/>
              </w:rPr>
              <w:t xml:space="preserve">[Deferred to Appropriate Role WG] </w:t>
            </w:r>
          </w:p>
        </w:tc>
      </w:tr>
    </w:tbl>
    <w:p w:rsidR="00EC557F" w:rsidRDefault="00422FC7">
      <w:pPr>
        <w:autoSpaceDE w:val="0"/>
        <w:autoSpaceDN w:val="0"/>
        <w:spacing w:before="176" w:after="154" w:line="332" w:lineRule="exact"/>
        <w:ind w:left="360"/>
      </w:pPr>
      <w:r>
        <w:rPr>
          <w:rFonts w:ascii="TimesNewRomanPS" w:eastAsia="TimesNewRomanPS" w:hAnsi="TimesNewRomanPS"/>
          <w:b/>
          <w:color w:val="000000"/>
          <w:sz w:val="24"/>
        </w:rPr>
        <w:t xml:space="preserve">Recommendation #5-2: Blended Workforce </w:t>
      </w:r>
    </w:p>
    <w:tbl>
      <w:tblPr>
        <w:tblW w:w="0" w:type="auto"/>
        <w:tblInd w:w="180" w:type="dxa"/>
        <w:tblLayout w:type="fixed"/>
        <w:tblLook w:val="04A0" w:firstRow="1" w:lastRow="0" w:firstColumn="1" w:lastColumn="0" w:noHBand="0" w:noVBand="1"/>
      </w:tblPr>
      <w:tblGrid>
        <w:gridCol w:w="400"/>
        <w:gridCol w:w="8580"/>
      </w:tblGrid>
      <w:tr w:rsidR="00EC557F">
        <w:trPr>
          <w:trHeight w:hRule="exact" w:val="994"/>
        </w:trPr>
        <w:tc>
          <w:tcPr>
            <w:tcW w:w="400" w:type="dxa"/>
            <w:tcMar>
              <w:left w:w="0" w:type="dxa"/>
              <w:right w:w="0" w:type="dxa"/>
            </w:tcMar>
          </w:tcPr>
          <w:p w:rsidR="00EC557F" w:rsidRDefault="00422FC7">
            <w:pPr>
              <w:autoSpaceDE w:val="0"/>
              <w:autoSpaceDN w:val="0"/>
              <w:spacing w:before="60" w:after="0" w:line="322" w:lineRule="exact"/>
              <w:jc w:val="center"/>
            </w:pPr>
            <w:r>
              <w:rPr>
                <w:rFonts w:ascii="TimesNewRomanPSMT" w:eastAsia="TimesNewRomanPSMT" w:hAnsi="TimesNewRomanPSMT"/>
                <w:color w:val="000000"/>
                <w:sz w:val="24"/>
              </w:rPr>
              <w:t>•</w:t>
            </w:r>
          </w:p>
        </w:tc>
        <w:tc>
          <w:tcPr>
            <w:tcW w:w="8580" w:type="dxa"/>
            <w:tcMar>
              <w:left w:w="0" w:type="dxa"/>
              <w:right w:w="0" w:type="dxa"/>
            </w:tcMar>
          </w:tcPr>
          <w:p w:rsidR="00EC557F" w:rsidRDefault="00422FC7">
            <w:pPr>
              <w:tabs>
                <w:tab w:val="left" w:pos="500"/>
              </w:tabs>
              <w:autoSpaceDE w:val="0"/>
              <w:autoSpaceDN w:val="0"/>
              <w:spacing w:before="106" w:after="0" w:line="276" w:lineRule="exact"/>
              <w:ind w:left="140" w:right="144"/>
            </w:pPr>
            <w:r>
              <w:rPr>
                <w:rFonts w:ascii="TimesNewRomanPSMT" w:eastAsia="TimesNewRomanPSMT" w:hAnsi="TimesNewRomanPSMT"/>
                <w:color w:val="000000"/>
                <w:sz w:val="24"/>
              </w:rPr>
              <w:t xml:space="preserve">Contractors can supplement the resources of agencies in performing their acquisition functions, but must not </w:t>
            </w:r>
            <w:r>
              <w:br/>
            </w:r>
            <w:r>
              <w:tab/>
            </w:r>
            <w:r>
              <w:rPr>
                <w:rFonts w:ascii="TimesNewRomanPSMT" w:eastAsia="TimesNewRomanPSMT" w:hAnsi="TimesNewRomanPSMT"/>
                <w:color w:val="000000"/>
                <w:sz w:val="24"/>
              </w:rPr>
              <w:t xml:space="preserve">–Infringe the core functions noted above </w:t>
            </w:r>
          </w:p>
        </w:tc>
      </w:tr>
    </w:tbl>
    <w:p w:rsidR="00EC557F" w:rsidRDefault="00422FC7">
      <w:pPr>
        <w:autoSpaceDE w:val="0"/>
        <w:autoSpaceDN w:val="0"/>
        <w:spacing w:before="606" w:after="0" w:line="320" w:lineRule="exact"/>
        <w:ind w:right="58"/>
        <w:jc w:val="right"/>
      </w:pPr>
      <w:r>
        <w:rPr>
          <w:rFonts w:ascii="TimesNewRomanPSMT" w:eastAsia="TimesNewRomanPSMT" w:hAnsi="TimesNewRomanPSMT"/>
          <w:color w:val="000000"/>
          <w:sz w:val="24"/>
        </w:rPr>
        <w:t>10</w:t>
      </w:r>
    </w:p>
    <w:p w:rsidR="00EC557F" w:rsidRDefault="00EC557F">
      <w:pPr>
        <w:sectPr w:rsidR="00EC557F">
          <w:pgSz w:w="12240" w:h="15840"/>
          <w:pgMar w:top="704" w:right="1382" w:bottom="352" w:left="1440" w:header="720" w:footer="720" w:gutter="0"/>
          <w:cols w:space="720"/>
          <w:docGrid w:linePitch="360"/>
        </w:sectPr>
      </w:pPr>
    </w:p>
    <w:p w:rsidR="00EC557F" w:rsidRDefault="00EC557F">
      <w:pPr>
        <w:autoSpaceDE w:val="0"/>
        <w:autoSpaceDN w:val="0"/>
        <w:spacing w:after="484" w:line="220" w:lineRule="exact"/>
      </w:pPr>
    </w:p>
    <w:p w:rsidR="00EC557F" w:rsidRDefault="00422FC7">
      <w:pPr>
        <w:autoSpaceDE w:val="0"/>
        <w:autoSpaceDN w:val="0"/>
        <w:spacing w:before="44" w:after="0" w:line="276" w:lineRule="exact"/>
        <w:ind w:left="1440" w:hanging="360"/>
      </w:pPr>
      <w:r>
        <w:rPr>
          <w:rFonts w:ascii="TimesNewRomanPSMT" w:eastAsia="TimesNewRomanPSMT" w:hAnsi="TimesNewRomanPSMT"/>
          <w:color w:val="000000"/>
          <w:sz w:val="24"/>
        </w:rPr>
        <w:t>–</w:t>
      </w:r>
      <w:r>
        <w:rPr>
          <w:rFonts w:ascii="TimesNewRomanPSMT" w:eastAsia="TimesNewRomanPSMT" w:hAnsi="TimesNewRomanPSMT"/>
          <w:color w:val="000000"/>
          <w:sz w:val="24"/>
        </w:rPr>
        <w:t xml:space="preserve">Act in areas that create a conflict of interest for the organizations involved, or for individual personnel </w:t>
      </w:r>
      <w:r>
        <w:br/>
      </w:r>
      <w:r>
        <w:rPr>
          <w:rFonts w:ascii="TimesNewRomanPSMT" w:eastAsia="TimesNewRomanPSMT" w:hAnsi="TimesNewRomanPSMT"/>
          <w:color w:val="000000"/>
          <w:sz w:val="24"/>
        </w:rPr>
        <w:t xml:space="preserve">[Deferred to Appropriate Role WG] </w:t>
      </w:r>
    </w:p>
    <w:p w:rsidR="00EC557F" w:rsidRDefault="00422FC7">
      <w:pPr>
        <w:autoSpaceDE w:val="0"/>
        <w:autoSpaceDN w:val="0"/>
        <w:spacing w:before="236" w:after="154" w:line="334" w:lineRule="exact"/>
        <w:ind w:left="360"/>
      </w:pPr>
      <w:r>
        <w:rPr>
          <w:rFonts w:ascii="TimesNewRomanPS" w:eastAsia="TimesNewRomanPS" w:hAnsi="TimesNewRomanPS"/>
          <w:b/>
          <w:color w:val="000000"/>
          <w:sz w:val="24"/>
        </w:rPr>
        <w:t xml:space="preserve">Recommendation #5-3: Blended Workforce </w:t>
      </w:r>
    </w:p>
    <w:tbl>
      <w:tblPr>
        <w:tblW w:w="0" w:type="auto"/>
        <w:tblInd w:w="180" w:type="dxa"/>
        <w:tblLayout w:type="fixed"/>
        <w:tblLook w:val="04A0" w:firstRow="1" w:lastRow="0" w:firstColumn="1" w:lastColumn="0" w:noHBand="0" w:noVBand="1"/>
      </w:tblPr>
      <w:tblGrid>
        <w:gridCol w:w="400"/>
        <w:gridCol w:w="8800"/>
      </w:tblGrid>
      <w:tr w:rsidR="00EC557F">
        <w:trPr>
          <w:trHeight w:hRule="exact" w:val="1268"/>
        </w:trPr>
        <w:tc>
          <w:tcPr>
            <w:tcW w:w="400" w:type="dxa"/>
            <w:tcMar>
              <w:left w:w="0" w:type="dxa"/>
              <w:right w:w="0" w:type="dxa"/>
            </w:tcMar>
          </w:tcPr>
          <w:p w:rsidR="00EC557F" w:rsidRDefault="00422FC7">
            <w:pPr>
              <w:autoSpaceDE w:val="0"/>
              <w:autoSpaceDN w:val="0"/>
              <w:spacing w:before="60" w:after="0" w:line="320" w:lineRule="exact"/>
              <w:jc w:val="center"/>
            </w:pPr>
            <w:r>
              <w:rPr>
                <w:rFonts w:ascii="TimesNewRomanPSMT" w:eastAsia="TimesNewRomanPSMT" w:hAnsi="TimesNewRomanPSMT"/>
                <w:color w:val="000000"/>
                <w:sz w:val="24"/>
              </w:rPr>
              <w:t>•</w:t>
            </w:r>
          </w:p>
        </w:tc>
        <w:tc>
          <w:tcPr>
            <w:tcW w:w="8800" w:type="dxa"/>
            <w:tcMar>
              <w:left w:w="0" w:type="dxa"/>
              <w:right w:w="0" w:type="dxa"/>
            </w:tcMar>
          </w:tcPr>
          <w:p w:rsidR="00EC557F" w:rsidRDefault="00422FC7">
            <w:pPr>
              <w:autoSpaceDE w:val="0"/>
              <w:autoSpaceDN w:val="0"/>
              <w:spacing w:before="104" w:after="0" w:line="276" w:lineRule="exact"/>
              <w:ind w:left="140"/>
            </w:pPr>
            <w:r>
              <w:rPr>
                <w:rFonts w:ascii="TimesNewRomanPSMT" w:eastAsia="TimesNewRomanPSMT" w:hAnsi="TimesNewRomanPSMT"/>
                <w:color w:val="000000"/>
                <w:sz w:val="24"/>
              </w:rPr>
              <w:t xml:space="preserve">Agencies must have in place affirmative safeguards to assure that supplementation of the Acquisition Workforce with contractor support does not create organizational conflicts of interest. </w:t>
            </w:r>
          </w:p>
          <w:p w:rsidR="00EC557F" w:rsidRDefault="00422FC7">
            <w:pPr>
              <w:autoSpaceDE w:val="0"/>
              <w:autoSpaceDN w:val="0"/>
              <w:spacing w:after="0" w:line="320" w:lineRule="exact"/>
              <w:ind w:left="140"/>
            </w:pPr>
            <w:r>
              <w:rPr>
                <w:rFonts w:ascii="TimesNewRomanPSMT" w:eastAsia="TimesNewRomanPSMT" w:hAnsi="TimesNewRomanPSMT"/>
                <w:color w:val="000000"/>
                <w:sz w:val="24"/>
              </w:rPr>
              <w:t xml:space="preserve">[Deferred to Appropriate Role WG] </w:t>
            </w:r>
          </w:p>
        </w:tc>
      </w:tr>
    </w:tbl>
    <w:p w:rsidR="00EC557F" w:rsidRDefault="00422FC7">
      <w:pPr>
        <w:autoSpaceDE w:val="0"/>
        <w:autoSpaceDN w:val="0"/>
        <w:spacing w:before="10542" w:after="0" w:line="320" w:lineRule="exact"/>
        <w:ind w:right="36"/>
        <w:jc w:val="right"/>
      </w:pPr>
      <w:r>
        <w:rPr>
          <w:rFonts w:ascii="TimesNewRomanPSMT" w:eastAsia="TimesNewRomanPSMT" w:hAnsi="TimesNewRomanPSMT"/>
          <w:color w:val="000000"/>
          <w:sz w:val="24"/>
        </w:rPr>
        <w:t>11</w:t>
      </w:r>
    </w:p>
    <w:sectPr w:rsidR="00EC557F" w:rsidSect="00034616">
      <w:pgSz w:w="12240" w:h="15840"/>
      <w:pgMar w:top="704" w:right="1404" w:bottom="3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094751">
    <w:abstractNumId w:val="8"/>
  </w:num>
  <w:num w:numId="2" w16cid:durableId="2027973802">
    <w:abstractNumId w:val="6"/>
  </w:num>
  <w:num w:numId="3" w16cid:durableId="289173787">
    <w:abstractNumId w:val="5"/>
  </w:num>
  <w:num w:numId="4" w16cid:durableId="347947975">
    <w:abstractNumId w:val="4"/>
  </w:num>
  <w:num w:numId="5" w16cid:durableId="280261051">
    <w:abstractNumId w:val="7"/>
  </w:num>
  <w:num w:numId="6" w16cid:durableId="1750998299">
    <w:abstractNumId w:val="3"/>
  </w:num>
  <w:num w:numId="7" w16cid:durableId="1049307935">
    <w:abstractNumId w:val="2"/>
  </w:num>
  <w:num w:numId="8" w16cid:durableId="1408378980">
    <w:abstractNumId w:val="1"/>
  </w:num>
  <w:num w:numId="9" w16cid:durableId="94538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FC7"/>
    <w:rsid w:val="00AA1D8D"/>
    <w:rsid w:val="00B47730"/>
    <w:rsid w:val="00CB0664"/>
    <w:rsid w:val="00E67612"/>
    <w:rsid w:val="00EC55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0A8F77-2783-43D8-A1D3-19D0AB4A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Strychalska-Nowak, Judyta</cp:lastModifiedBy>
  <cp:revision>2</cp:revision>
  <dcterms:created xsi:type="dcterms:W3CDTF">2025-10-21T09:16:00Z</dcterms:created>
  <dcterms:modified xsi:type="dcterms:W3CDTF">2025-10-21T09:16:00Z</dcterms:modified>
  <cp:category/>
</cp:coreProperties>
</file>