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B8F2" w14:textId="2153C7F0" w:rsidR="0076715B" w:rsidRDefault="0076715B" w:rsidP="0076715B">
      <w:pPr>
        <w:jc w:val="center"/>
      </w:pPr>
      <w:r>
        <w:t>Diagrama de Caso de Uso</w:t>
      </w:r>
    </w:p>
    <w:p w14:paraId="1021512E" w14:textId="6F1DB22F" w:rsidR="00963D03" w:rsidRDefault="0076715B" w:rsidP="0076715B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30660899" wp14:editId="4B6D1D08">
            <wp:extent cx="4564380" cy="7894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B"/>
    <w:rsid w:val="0076715B"/>
    <w:rsid w:val="009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696F"/>
  <w15:chartTrackingRefBased/>
  <w15:docId w15:val="{881998C5-B99F-4AFB-9ED4-429BA6FB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Blazco</dc:creator>
  <cp:keywords/>
  <dc:description/>
  <cp:lastModifiedBy>Emiliano Blazco</cp:lastModifiedBy>
  <cp:revision>1</cp:revision>
  <dcterms:created xsi:type="dcterms:W3CDTF">2022-05-06T01:23:00Z</dcterms:created>
  <dcterms:modified xsi:type="dcterms:W3CDTF">2022-05-06T01:24:00Z</dcterms:modified>
</cp:coreProperties>
</file>