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003554"/>
          <w:sz w:val="44"/>
          <w:szCs w:val="44"/>
        </w:rPr>
        <w:t xml:space="preserve">Swim &amp; Water Safety</w:t>
      </w:r>
    </w:p>
    <w:p>
      <w:pPr>
        <w:spacing w:after="120" w:before="0"/>
        <w:jc w:val="left"/>
      </w:pPr>
      <w:r>
        <w:rPr>
          <w:rFonts w:ascii="Arial" w:cs="Arial" w:eastAsia="Arial" w:hAnsi="Arial"/>
          <w:b/>
          <w:bCs/>
          <w:color w:val="005F8C"/>
          <w:sz w:val="36"/>
          <w:szCs w:val="36"/>
        </w:rPr>
        <w:t xml:space="preserve">Teaching Resource Suite</w:t>
      </w:r>
    </w:p>
    <w:p>
      <w:pPr>
        <w:spacing w:after="60" w:before="0"/>
        <w:jc w:val="left"/>
      </w:pPr>
      <w:r>
        <w:rPr>
          <w:rFonts w:ascii="Arial" w:cs="Arial" w:eastAsia="Arial" w:hAnsi="Arial"/>
          <w:b/>
          <w:bCs/>
          <w:color w:val="002B40"/>
          <w:sz w:val="28"/>
          <w:szCs w:val="28"/>
        </w:rPr>
        <w:t xml:space="preserve">Copyright Ownership &amp; Licensing Summary</w:t>
      </w:r>
    </w:p>
    <w:p>
      <w:pPr>
        <w:pBdr>
          <w:bottom w:val="single" w:color="005F8C" w:sz="12" w:space="1"/>
        </w:pBdr>
        <w:spacing w:after="200" w:before="0"/>
      </w:pPr>
      <w:r>
        <w:rPr>
          <w:sz w:val="4"/>
          <w:szCs w:val="4"/>
        </w:rPr>
        <w:t xml:space="preserve"/>
      </w:r>
    </w:p>
    <w:tbl>
      <w:tblPr>
        <w:tblW w:type="dxa" w:w="6939"/>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tblGrid>
      <w:tr>
        <w:tc>
          <w:tcPr>
            <w:tcBorders>
              <w:top w:val="none" w:color="FFFFFF" w:sz="0"/>
              <w:left w:val="none" w:color="FFFFFF" w:sz="0"/>
              <w:bottom w:val="none" w:color="FFFFFF" w:sz="0"/>
              <w:right w:val="none" w:color="FFFFFF" w:sz="0"/>
            </w:tcBorders>
            <w:shd w:fill="F0F4F8"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Prepared by</w:t>
            </w:r>
          </w:p>
        </w:tc>
        <w:tc>
          <w:tcPr>
            <w:tcBorders>
              <w:top w:val="none" w:color="FFFFFF" w:sz="0"/>
              <w:left w:val="none" w:color="FFFFFF" w:sz="0"/>
              <w:bottom w:val="none" w:color="FFFFFF" w:sz="0"/>
              <w:right w:val="none" w:color="FFFFFF" w:sz="0"/>
            </w:tcBorders>
            <w:shd w:fill="F0F4F8"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Em Harrison</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Purpose</w:t>
            </w:r>
          </w:p>
        </w:tc>
        <w:tc>
          <w:tcPr>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Reference document for copyright compliance — Swim &amp; Water Safety HPE resource suite</w:t>
            </w:r>
          </w:p>
        </w:tc>
      </w:tr>
      <w:tr>
        <w:tc>
          <w:tcPr>
            <w:tcBorders>
              <w:top w:val="none" w:color="FFFFFF" w:sz="0"/>
              <w:left w:val="none" w:color="FFFFFF" w:sz="0"/>
              <w:bottom w:val="none" w:color="FFFFFF" w:sz="0"/>
              <w:right w:val="none" w:color="FFFFFF" w:sz="0"/>
            </w:tcBorders>
            <w:shd w:fill="F0F4F8"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Date verified</w:t>
            </w:r>
          </w:p>
        </w:tc>
        <w:tc>
          <w:tcPr>
            <w:tcBorders>
              <w:top w:val="none" w:color="FFFFFF" w:sz="0"/>
              <w:left w:val="none" w:color="FFFFFF" w:sz="0"/>
              <w:bottom w:val="none" w:color="FFFFFF" w:sz="0"/>
              <w:right w:val="none" w:color="FFFFFF" w:sz="0"/>
            </w:tcBorders>
            <w:shd w:fill="F0F4F8"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May 2026</w:t>
            </w:r>
          </w:p>
        </w:tc>
      </w:tr>
      <w:tr>
        <w:tc>
          <w:tcPr>
            <w:tcBorders>
              <w:top w:val="none" w:color="FFFFFF" w:sz="0"/>
              <w:left w:val="none" w:color="FFFFFF" w:sz="0"/>
              <w:bottom w:val="none" w:color="FFFFFF" w:sz="0"/>
              <w:right w:val="none" w:color="FFFFFF" w:sz="0"/>
            </w:tcBorders>
            <w:shd w:fill="FFFFFF"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Australian legal framework</w:t>
            </w:r>
          </w:p>
        </w:tc>
        <w:tc>
          <w:tcPr>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Copyright Act 1968 (Cth), including educational fair dealing provisions (Part III, Division 3)</w:t>
            </w:r>
          </w:p>
        </w:tc>
      </w:tr>
      <w:tr>
        <w:tc>
          <w:tcPr>
            <w:tcBorders>
              <w:top w:val="none" w:color="FFFFFF" w:sz="0"/>
              <w:left w:val="none" w:color="FFFFFF" w:sz="0"/>
              <w:bottom w:val="none" w:color="FFFFFF" w:sz="0"/>
              <w:right w:val="none" w:color="FFFFFF" w:sz="0"/>
            </w:tcBorders>
            <w:shd w:fill="F0F4F8" w:val="clear"/>
            <w:tcMar>
              <w:top w:type="dxa" w:w="60"/>
              <w:left w:type="dxa" w:w="120"/>
              <w:bottom w:type="dxa" w:w="60"/>
              <w:right w:type="dxa" w:w="80"/>
            </w:tcMar>
            <w:vAlign w:val="top"/>
          </w:tcPr>
          <w:p>
            <w:pPr>
              <w:spacing w:after="40" w:before="40"/>
            </w:pPr>
            <w:r>
              <w:rPr>
                <w:rFonts w:ascii="Arial" w:cs="Arial" w:eastAsia="Arial" w:hAnsi="Arial"/>
                <w:b/>
                <w:bCs/>
                <w:color w:val="003554"/>
                <w:sz w:val="18"/>
                <w:szCs w:val="18"/>
              </w:rPr>
              <w:t xml:space="preserve">Contact for copyright queries</w:t>
            </w:r>
          </w:p>
        </w:tc>
        <w:tc>
          <w:tcPr>
            <w:tcBorders>
              <w:top w:val="none" w:color="FFFFFF" w:sz="0"/>
              <w:left w:val="none" w:color="FFFFFF" w:sz="0"/>
              <w:bottom w:val="none" w:color="FFFFFF" w:sz="0"/>
              <w:right w:val="none" w:color="FFFFFF" w:sz="0"/>
            </w:tcBorders>
            <w:shd w:fill="F0F4F8" w:val="clear"/>
            <w:tcMar>
              <w:top w:type="dxa" w:w="60"/>
              <w:left w:type="dxa" w:w="80"/>
              <w:bottom w:type="dxa" w:w="60"/>
              <w:right w:type="dxa" w:w="80"/>
            </w:tcMar>
            <w:vAlign w:val="top"/>
          </w:tcPr>
          <w:p>
            <w:pPr>
              <w:spacing w:after="40" w:before="40"/>
            </w:pPr>
            <w:r>
              <w:rPr>
                <w:rFonts w:ascii="Arial" w:cs="Arial" w:eastAsia="Arial" w:hAnsi="Arial"/>
                <w:color w:val="002B40"/>
                <w:sz w:val="18"/>
                <w:szCs w:val="18"/>
              </w:rPr>
              <w:t xml:space="preserve">swimwater.safety@gmail.com</w:t>
            </w:r>
          </w:p>
        </w:tc>
      </w:tr>
    </w:tbl>
    <w:p>
      <w:pPr>
        <w:spacing w:after="20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45309" w:sz="4"/>
              <w:left w:val="single" w:color="b45309" w:sz="20"/>
              <w:bottom w:val="single" w:color="b45309" w:sz="4"/>
              <w:right w:val="single" w:color="b45309" w:sz="4"/>
            </w:tcBorders>
            <w:shd w:fill="fffbeb" w:val="clear"/>
            <w:tcMar>
              <w:top w:type="dxa" w:w="120"/>
              <w:left w:type="dxa" w:w="200"/>
              <w:bottom w:type="dxa" w:w="120"/>
              <w:right w:type="dxa" w:w="160"/>
            </w:tcMar>
            <w:vAlign w:val="top"/>
          </w:tcPr>
          <w:p>
            <w:pPr>
              <w:spacing w:after="80" w:before="40"/>
            </w:pPr>
            <w:r>
              <w:rPr>
                <w:rFonts w:ascii="Arial" w:cs="Arial" w:eastAsia="Arial" w:hAnsi="Arial"/>
                <w:b/>
                <w:bCs/>
                <w:color w:val="b45309"/>
                <w:sz w:val="20"/>
                <w:szCs w:val="20"/>
              </w:rPr>
              <w:t xml:space="preserve">⚠  Important Note — Please Read</w:t>
            </w:r>
          </w:p>
          <w:p>
            <w:pPr>
              <w:spacing w:after="100" w:before="0"/>
            </w:pPr>
            <w:r>
              <w:rPr>
                <w:rFonts w:ascii="Arial" w:cs="Arial" w:eastAsia="Arial" w:hAnsi="Arial"/>
                <w:color w:val="3a2a00"/>
                <w:sz w:val="17"/>
                <w:szCs w:val="17"/>
              </w:rPr>
              <w:t xml:space="preserve">This document provides a summary of copyright ownership and licensing information for organisations and resources consulted in the creation of the Swim &amp; Water Safety teaching resource suite. It is provided for informational purposes only and does not constitute legal advice.</w:t>
            </w:r>
          </w:p>
          <w:p>
            <w:pPr>
              <w:spacing w:after="100" w:before="0"/>
            </w:pPr>
            <w:r>
              <w:rPr>
                <w:rFonts w:ascii="Arial" w:cs="Arial" w:eastAsia="Arial" w:hAnsi="Arial"/>
                <w:color w:val="3a2a00"/>
                <w:sz w:val="17"/>
                <w:szCs w:val="17"/>
              </w:rPr>
              <w:t xml:space="preserve">The resources created in this suite draw on factual statistical data, general safety guidelines, and curriculum frameworks. In most cases, use of these materials falls within the educational fair dealing exceptions under the Australian Copyright Act 1968 (Cth), which permits reproduction of copyright material for research, study, criticism, review, or reporting the news, provided the use is "fair and reasonable."</w:t>
            </w:r>
          </w:p>
          <w:p>
            <w:pPr>
              <w:spacing w:after="100" w:before="0"/>
            </w:pPr>
            <w:r>
              <w:rPr>
                <w:rFonts w:ascii="Arial" w:cs="Arial" w:eastAsia="Arial" w:hAnsi="Arial"/>
                <w:color w:val="3a2a00"/>
                <w:sz w:val="17"/>
                <w:szCs w:val="17"/>
              </w:rPr>
              <w:t xml:space="preserve">Where resources created in this suite reference, paraphrase, or summarise content from the organisations listed below, this has been done in accordance with applicable licence terms. No substantial portions of any copyrighted material have been reproduced verbatim within the created resources — all content is either: (a) original material created by Em Harrison; (b) factual data cited with appropriate attribution; or (c) general knowledge in the water safety domain not owned by any single organisation.</w:t>
            </w:r>
          </w:p>
          <w:p>
            <w:pPr>
              <w:spacing w:after="100" w:before="0"/>
            </w:pPr>
            <w:r>
              <w:rPr>
                <w:rFonts w:ascii="Arial" w:cs="Arial" w:eastAsia="Arial" w:hAnsi="Arial"/>
                <w:color w:val="3a2a00"/>
                <w:sz w:val="17"/>
                <w:szCs w:val="17"/>
              </w:rPr>
              <w:t xml:space="preserve">Copyright licence information was verified in May 2026. Licence terms can change — always check the relevant organisation's current website before reproducing, adapting, or redistributing any materials. If you intend to distribute or publish resources that incorporate content from any of the organisations below, seek written permission where indicated.</w:t>
            </w:r>
          </w:p>
        </w:tc>
      </w:tr>
    </w:tbl>
    <w:p>
      <w:pPr>
        <w:spacing w:after="2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5F8C"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Australian Water Safety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Life Saving Victoria (LSV)</w:t>
            </w:r>
          </w:p>
          <w:p>
            <w:pPr>
              <w:spacing w:after="60" w:before="0"/>
            </w:pPr>
            <w:r>
              <w:rPr>
                <w:rFonts w:ascii="Arial" w:cs="Arial" w:eastAsia="Arial" w:hAnsi="Arial"/>
                <w:b w:val="false"/>
                <w:bCs w:val="false"/>
                <w:color w:val="005F8C"/>
                <w:sz w:val="17"/>
                <w:szCs w:val="17"/>
              </w:rPr>
              <w:t xml:space="preserve">https://lsv.com.au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Primary data source — Victorian drowning statistics (LSV Drowning Report 2023–24), SwimSafe 5 rules, BeachSafe references, multilingual community resources, classroom toolkit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https://lsv.com.au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Life Saving Victoria.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LSV materials are © LSV with all rights reserved. Factual statistical data (drowning figures, demographics) cited in educational contexts falls within fair dealing under the Australian Copyright Act 1968 (Cth). Contact LSV directly for permission to reproduce substantial portions of reports or toolkit materials. The LSV Classroom Toolkit is made freely available for school use. Acknowledge LSV as source in all materials.</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Royal Life Saving Society Australia (RLSSA)</w:t>
            </w:r>
          </w:p>
          <w:p>
            <w:pPr>
              <w:spacing w:after="60" w:before="0"/>
            </w:pPr>
            <w:r>
              <w:rPr>
                <w:rFonts w:ascii="Arial" w:cs="Arial" w:eastAsia="Arial" w:hAnsi="Arial"/>
                <w:b w:val="false"/>
                <w:bCs w:val="false"/>
                <w:color w:val="005F8C"/>
                <w:sz w:val="17"/>
                <w:szCs w:val="17"/>
              </w:rPr>
              <w:t xml:space="preserve">https://www.royallifesaving.com.au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National drowning statistics, Swim &amp; Survive program, RLSSA throw-rescue hierarchy ("Talk, Reach, Throw, Row, Go"), National Swimming and Water Safety Framework, research data</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https://www.royallifesaving.com.au</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Royal Life Saving Society Australia.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RLSSA is a non-profit Public Benevolent Institution. Educational use of data and general safety information is encouraged. Written permission required for reproduction of formal reports, programs or branded content. Factual data cited in educational materials falls within fair dealing. Attribute as: "Source: Royal Life Saving Society Australia — royallifesaving.com.au"</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Surf Life Saving Australia (SLSA) / BeachSafe</w:t>
            </w:r>
          </w:p>
          <w:p>
            <w:pPr>
              <w:spacing w:after="60" w:before="0"/>
            </w:pPr>
            <w:r>
              <w:rPr>
                <w:rFonts w:ascii="Arial" w:cs="Arial" w:eastAsia="Arial" w:hAnsi="Arial"/>
                <w:b w:val="false"/>
                <w:bCs w:val="false"/>
                <w:color w:val="005F8C"/>
                <w:sz w:val="17"/>
                <w:szCs w:val="17"/>
              </w:rPr>
              <w:t xml:space="preserve">https://sls.com.au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Beach flag system descriptions and meanings, BeachSafe app reference, patrol location data, rip current information, coastal safety statistics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https://sls.com.au</w:t>
            </w:r>
          </w:p>
          <w:p>
            <w:pPr>
              <w:spacing w:after="60" w:before="0"/>
            </w:pPr>
            <w:r>
              <w:rPr>
                <w:rFonts w:ascii="Arial" w:cs="Arial" w:eastAsia="Arial" w:hAnsi="Arial"/>
                <w:b w:val="false"/>
                <w:bCs w:val="false"/>
                <w:color w:val="005F8C"/>
                <w:sz w:val="17"/>
                <w:szCs w:val="17"/>
              </w:rPr>
              <w:t xml:space="preserve">https://beachsafe.org.au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Surf Life Saving Australia Limited (ABN 67 449 738 159).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SLSA materials are copyright. "Apart from any fair dealing for the purposes of private study, research, criticism, or review, as permitted under the Copyright Act, no part may be reproduced by any process without express written permission of SLSA." BeachSafe content may be referenced and linked to freely. Factual beach safety information may be cited in educational materials with appropriate attribution to SLSA/BeachSafe.</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AUSTSWIM</w:t>
            </w:r>
          </w:p>
          <w:p>
            <w:pPr>
              <w:spacing w:after="60" w:before="0"/>
            </w:pPr>
            <w:r>
              <w:rPr>
                <w:rFonts w:ascii="Arial" w:cs="Arial" w:eastAsia="Arial" w:hAnsi="Arial"/>
                <w:b w:val="false"/>
                <w:bCs w:val="false"/>
                <w:color w:val="005F8C"/>
                <w:sz w:val="17"/>
                <w:szCs w:val="17"/>
              </w:rPr>
              <w:t xml:space="preserve">https://www.austswim.com.au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Swimming and water safety instructor training standards, referenced in resource directory for teacher professional learning</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https://www.austswim.com.au</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AUSTSWIM.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AUSTSWIM content is protected by copyright. Reference to AUSTSWIM programs and qualifications in educational materials for informational purposes is generally acceptable. Contact AUSTSWIM directly before reproducing any program materials or branded content.</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Paddle Australia</w:t>
            </w:r>
          </w:p>
          <w:p>
            <w:pPr>
              <w:spacing w:after="60" w:before="0"/>
            </w:pPr>
            <w:r>
              <w:rPr>
                <w:rFonts w:ascii="Arial" w:cs="Arial" w:eastAsia="Arial" w:hAnsi="Arial"/>
                <w:b w:val="false"/>
                <w:bCs w:val="false"/>
                <w:color w:val="005F8C"/>
                <w:sz w:val="17"/>
                <w:szCs w:val="17"/>
              </w:rPr>
              <w:t xml:space="preserve">https://paddle.org.au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Inland waterway safety guidelines, river grading information, kayaking safety standards, referenced for Victorian river hazard context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https://paddle.org.au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Paddle Australia.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5F8C"/>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Paddle Australia materials are copyright. Factual information about waterway safety cited educationally falls within fair dealing. Contact Paddle Australia for permission to reproduce substantial portions of safety guidelines. Acknowledge as source.</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00695c"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Victorian Government Agencies &amp; Curriculum</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Victorian Curriculum and Assessment Authority (VCAA)</w:t>
            </w:r>
          </w:p>
          <w:p>
            <w:pPr>
              <w:spacing w:after="60" w:before="0"/>
            </w:pPr>
            <w:r>
              <w:rPr>
                <w:rFonts w:ascii="Arial" w:cs="Arial" w:eastAsia="Arial" w:hAnsi="Arial"/>
                <w:b w:val="false"/>
                <w:bCs w:val="false"/>
                <w:color w:val="005F8C"/>
                <w:sz w:val="17"/>
                <w:szCs w:val="17"/>
              </w:rPr>
              <w:t xml:space="preserve">https://victoriancurriculum.vcaa.vic.edu.au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Curriculum F–10 Version 2.0 content descriptions and achievement standards (VCHPEP125, 126, 129, 130, 143, 144, 147, 148; VCHPEM146, 162) used for alignment throughout all resources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https://victoriancurriculum.vcaa.vic.edu.au</w:t>
            </w:r>
          </w:p>
          <w:p>
            <w:pPr>
              <w:spacing w:after="60" w:before="0"/>
            </w:pPr>
            <w:r>
              <w:rPr>
                <w:rFonts w:ascii="Arial" w:cs="Arial" w:eastAsia="Arial" w:hAnsi="Arial"/>
                <w:b w:val="false"/>
                <w:bCs w:val="false"/>
                <w:color w:val="005F8C"/>
                <w:sz w:val="17"/>
                <w:szCs w:val="17"/>
              </w:rPr>
              <w:t xml:space="preserve">https://www.vcaa.vic.edu.au/footer/copyright</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Victorian Curriculum and Assessment Authority (VCAA). Victorian Curriculum F–10 content licensed CC BY-NC.</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695c"/>
                <w:sz w:val="17"/>
                <w:szCs w:val="17"/>
              </w:rPr>
              <w:t xml:space="preserve">Creative Commons Attribution — Non-Commercial (CC BY-NC 3.0 Australia)</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The Victorian Curriculum F–10 is licensed under CC BY-NC 3.0 Australia. You may use, share, and adapt for non-commercial purposes, including school teaching, provided you: (1) attribute as "© VCAA, licensed CC-BY-NC"; (2) include the source URL. Schools have an upfront licence to copy and communicate VCAA works for non-commercial educational purposes. Separate permission required for public website publication. Curriculum codes may be referenced freely for descriptive/alignment purposes. VCAA logos and trademarks are NOT included in the licence.</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Department of Education Victoria (DE)</w:t>
            </w:r>
          </w:p>
          <w:p>
            <w:pPr>
              <w:spacing w:after="60" w:before="0"/>
            </w:pPr>
            <w:r>
              <w:rPr>
                <w:rFonts w:ascii="Arial" w:cs="Arial" w:eastAsia="Arial" w:hAnsi="Arial"/>
                <w:b w:val="false"/>
                <w:bCs w:val="false"/>
                <w:color w:val="005F8C"/>
                <w:sz w:val="17"/>
                <w:szCs w:val="17"/>
              </w:rPr>
              <w:t xml:space="preserve">https://www2.education.vic.gov.au/pal/swimming-instruction-and-water-safety-education/policy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Swimming and Water Safety Education Policy, Excursions Policy — referenced in swimming carnival safety briefing, excursion risk management template, and pool practical companion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https://www2.education.vic.gov.au/pal/swimming-instruction-and-water-safety-education/policy</w:t>
            </w:r>
          </w:p>
          <w:p>
            <w:pPr>
              <w:spacing w:after="60" w:before="0"/>
            </w:pPr>
            <w:r>
              <w:rPr>
                <w:rFonts w:ascii="Arial" w:cs="Arial" w:eastAsia="Arial" w:hAnsi="Arial"/>
                <w:b w:val="false"/>
                <w:bCs w:val="false"/>
                <w:color w:val="005F8C"/>
                <w:sz w:val="17"/>
                <w:szCs w:val="17"/>
              </w:rPr>
              <w:t xml:space="preserve">https://www2.education.vic.gov.au/pal/excursions/policy</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State of Victoria (Department of Education). Content published under Creative Commons Attribution 4.0 International (CC BY 4.0) unless otherwise stated.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695c"/>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Department of Education publications and web content are generally licensed under CC BY 4.0, meaning they can be freely used, adapted, and redistributed provided the Department is attributed. Policy content referenced in school resources for compliance purposes may be cited freely. Always access current policy versions directly from the DE website as policies are updated regularly.</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Parks Victoria</w:t>
            </w:r>
          </w:p>
          <w:p>
            <w:pPr>
              <w:spacing w:after="60" w:before="0"/>
            </w:pPr>
            <w:r>
              <w:rPr>
                <w:rFonts w:ascii="Arial" w:cs="Arial" w:eastAsia="Arial" w:hAnsi="Arial"/>
                <w:b w:val="false"/>
                <w:bCs w:val="false"/>
                <w:color w:val="005F8C"/>
                <w:sz w:val="17"/>
                <w:szCs w:val="17"/>
              </w:rPr>
              <w:t xml:space="preserve">https://www.parks.vic.gov.au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Victorian national park and waterway safety information, river hazard context for inland waterway section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https://www.parks.vic.gov.au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Parks Victoria 2019. Licensed under Creative Commons Attribution 4.0 International.</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00695c"/>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Parks Victoria website content is licensed CC BY 4.0. You may freely use, share, and adapt this material provided you attribute as "© Parks Victoria 2019". Exceptions apply to Parks Victoria logos, branding, Victorian Coat of Arms, and photographs. Third-party content on the site may require separate permission.</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c62828"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First Aid &amp; Emergency Response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St John Ambulance Australia / St John Ambulance Victoria</w:t>
            </w:r>
          </w:p>
          <w:p>
            <w:pPr>
              <w:spacing w:after="60" w:before="0"/>
            </w:pPr>
            <w:r>
              <w:rPr>
                <w:rFonts w:ascii="Arial" w:cs="Arial" w:eastAsia="Arial" w:hAnsi="Arial"/>
                <w:b w:val="false"/>
                <w:bCs w:val="false"/>
                <w:color w:val="005F8C"/>
                <w:sz w:val="17"/>
                <w:szCs w:val="17"/>
              </w:rPr>
              <w:t xml:space="preserve">https://www.stjohnvic.com.au</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DRS ABCD emergency action plan, CPR guidelines (30:2 ratio), AED use instructions, first aid course references for teachers and families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https://www.stjohnvic.com.au</w:t>
            </w:r>
          </w:p>
          <w:p>
            <w:pPr>
              <w:spacing w:after="60" w:before="0"/>
            </w:pPr>
            <w:r>
              <w:rPr>
                <w:rFonts w:ascii="Arial" w:cs="Arial" w:eastAsia="Arial" w:hAnsi="Arial"/>
                <w:b w:val="false"/>
                <w:bCs w:val="false"/>
                <w:color w:val="005F8C"/>
                <w:sz w:val="17"/>
                <w:szCs w:val="17"/>
              </w:rPr>
              <w:t xml:space="preserve">https://stjohn.org.au</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St John Ambulance Australia Ltd. The St John Brand (mark, insignia and name) are Trademarked in Australia.</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c62828"/>
                <w:sz w:val="17"/>
                <w:szCs w:val="17"/>
              </w:rPr>
              <w:t xml:space="preserve">All Rights Reserved — Fact Sheets freely available for educational use with conditions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St John Ambulance fact sheets and awareness materials are "freely available for the public, workplaces, schools, and community groups" for education and awareness purposes. Conditions: (1) use in full and current format without alteration; (2) not for commercial use; (3) cite as "St John Ambulance Australia" with title and date of access; (4) do not imply partnership or endorsement. DRS ABCD as a general resuscitation framework is widely published clinical guidance and not owned by any single organisation — the specific St John presentation of it is their copyright.</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b45309"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International Health &amp; Safety Organisations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World Health Organization (WHO)</w:t>
            </w:r>
          </w:p>
          <w:p>
            <w:pPr>
              <w:spacing w:after="60" w:before="0"/>
            </w:pPr>
            <w:r>
              <w:rPr>
                <w:rFonts w:ascii="Arial" w:cs="Arial" w:eastAsia="Arial" w:hAnsi="Arial"/>
                <w:b w:val="false"/>
                <w:bCs w:val="false"/>
                <w:color w:val="005F8C"/>
                <w:sz w:val="17"/>
                <w:szCs w:val="17"/>
              </w:rPr>
              <w:t xml:space="preserve">https://www.who.int/news-room/fact-sheets/detail/drowning</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Global drowning statistics (~320,000 annual deaths), WHO drowning prevention fact sheet data, social determinants of health framework referenced in Year 9–10 unit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https://www.who.int/news-room/fact-sheets/detail/drowning</w:t>
            </w:r>
          </w:p>
          <w:p>
            <w:pPr>
              <w:spacing w:after="60" w:before="0"/>
            </w:pPr>
            <w:r>
              <w:rPr>
                <w:rFonts w:ascii="Arial" w:cs="Arial" w:eastAsia="Arial" w:hAnsi="Arial"/>
                <w:b w:val="false"/>
                <w:bCs w:val="false"/>
                <w:color w:val="005F8C"/>
                <w:sz w:val="17"/>
                <w:szCs w:val="17"/>
              </w:rPr>
              <w:t xml:space="preserve">https://www.who.int/about/policies/terms-of-use</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World Health Organization. Some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Creative Commons Attribution — Non-Commercial — ShareAlike 3.0 IGO (CC BY-NC-SA 3.0 IGO)</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WHO publications from 2017 onwards are licensed under CC BY-NC-SA 3.0 IGO. You may copy, redistribute, and adapt for non-commercial purposes without seeking permission, provided WHO is acknowledged as the source and the adapted work is published under the same or similar licence. Website content (fact sheets) may be cited for research/educational purposes with attribution. Do not use the WHO logo without permission.</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Royal Life Saving Society UK (RLSS UK)</w:t>
            </w:r>
          </w:p>
          <w:p>
            <w:pPr>
              <w:spacing w:after="60" w:before="0"/>
            </w:pPr>
            <w:r>
              <w:rPr>
                <w:rFonts w:ascii="Arial" w:cs="Arial" w:eastAsia="Arial" w:hAnsi="Arial"/>
                <w:b w:val="false"/>
                <w:bCs w:val="false"/>
                <w:color w:val="005F8C"/>
                <w:sz w:val="17"/>
                <w:szCs w:val="17"/>
              </w:rPr>
              <w:t xml:space="preserve">https://www.rlss.org.uk/education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International comparison content — "Float to Live" campaign referenced in Year 9–10 advanced unit and teacher guide for international prevention approach analysis</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https://www.rlss.org.uk/education</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Royal Life Saving Society UK.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RLSS UK content is copyright. The "Float to Live" campaign is RLSS UK intellectual property. Referencing and describing the campaign for educational comparison purposes is acceptable. Reproduction of campaign materials, imagery or substantial text requires written permission from RLSS UK. Attribute as "Source: Royal Life Saving Society UK — rlss.org.uk"</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American Red Cross</w:t>
            </w:r>
          </w:p>
          <w:p>
            <w:pPr>
              <w:spacing w:after="60" w:before="0"/>
            </w:pPr>
            <w:r>
              <w:rPr>
                <w:rFonts w:ascii="Arial" w:cs="Arial" w:eastAsia="Arial" w:hAnsi="Arial"/>
                <w:b w:val="false"/>
                <w:bCs w:val="false"/>
                <w:color w:val="005F8C"/>
                <w:sz w:val="17"/>
                <w:szCs w:val="17"/>
              </w:rPr>
              <w:t xml:space="preserve">https://www.redcross.org/take-a-class/water-safety</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International comparison content — water safety programs referenced in Year 9–10 advanced unit for international prevention approach analysis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https://www.redcross.org/take-a-class/water-safety</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American National Red Cross.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All Rights Reserved — Standard Copyright</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American Red Cross content is copyright. Educational reference to Red Cross programs for comparative analysis is acceptable. Reproduction of program materials requires permission. Note: The American Red Cross is a separate organisation from Australian Red Cross — contact the relevant organisation for permissions in your jurisdiction.</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Centers for Disease Control and Prevention (CDC) — USA</w:t>
            </w:r>
          </w:p>
          <w:p>
            <w:pPr>
              <w:spacing w:after="60" w:before="0"/>
            </w:pPr>
            <w:r>
              <w:rPr>
                <w:rFonts w:ascii="Arial" w:cs="Arial" w:eastAsia="Arial" w:hAnsi="Arial"/>
                <w:b w:val="false"/>
                <w:bCs w:val="false"/>
                <w:color w:val="005F8C"/>
                <w:sz w:val="17"/>
                <w:szCs w:val="17"/>
              </w:rPr>
              <w:t xml:space="preserve">https://www.cdc.gov/drowning/prevention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US drowning prevention statistics referenced in resource directory and Year 9–10 international comparison section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https://www.cdc.gov/drowning/prevention</w:t>
            </w:r>
          </w:p>
          <w:p>
            <w:pPr>
              <w:spacing w:after="60" w:before="0"/>
            </w:pPr>
            <w:r>
              <w:rPr>
                <w:rFonts w:ascii="Arial" w:cs="Arial" w:eastAsia="Arial" w:hAnsi="Arial"/>
                <w:b w:val="false"/>
                <w:bCs w:val="false"/>
                <w:color w:val="005F8C"/>
                <w:sz w:val="17"/>
                <w:szCs w:val="17"/>
              </w:rPr>
              <w:t xml:space="preserve">https://www.cdc.gov/other/agencymaterials.html</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Most CDC content is in the public domain as a work of the US Federal Government.</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b45309"/>
                <w:sz w:val="17"/>
                <w:szCs w:val="17"/>
              </w:rPr>
              <w:t xml:space="preserve">Public Domain (US Federal Government work) — free use with attribution</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Most CDC website content is not subject to copyright and is in the public domain, freely reproducible without permission. Requirements: (1) attribute to the CDC; (2) include a disclaimer that use does not imply CDC endorsement; (3) do not change substantive content; (4) note that the material is available on the CDC website at no charge. Some CDC content developed by contractors or licensed from third parties may be restricted — check individual items.</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2e7d32"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Digital Accessibility Standards</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World Wide Web Consortium (W3C) / Web Accessibility Initiative (WAI)</w:t>
            </w:r>
          </w:p>
          <w:p>
            <w:pPr>
              <w:spacing w:after="60" w:before="0"/>
            </w:pPr>
            <w:r>
              <w:rPr>
                <w:rFonts w:ascii="Arial" w:cs="Arial" w:eastAsia="Arial" w:hAnsi="Arial"/>
                <w:b w:val="false"/>
                <w:bCs w:val="false"/>
                <w:color w:val="005F8C"/>
                <w:sz w:val="17"/>
                <w:szCs w:val="17"/>
              </w:rPr>
              <w:t xml:space="preserve">https://www.w3.org/WAI/standards-guidelines/wcag/</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WCAG 2.2 accessibility guidelines applied across all 21 HTML artefacts — contrast ratios, focus styles, landmark elements, language attributes, keyboard navigation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https://www.w3.org/WAI/standards-guidelines/wcag/</w:t>
            </w:r>
          </w:p>
          <w:p>
            <w:pPr>
              <w:spacing w:after="60" w:before="0"/>
            </w:pPr>
            <w:r>
              <w:rPr>
                <w:rFonts w:ascii="Arial" w:cs="Arial" w:eastAsia="Arial" w:hAnsi="Arial"/>
                <w:b w:val="false"/>
                <w:bCs w:val="false"/>
                <w:color w:val="005F8C"/>
                <w:sz w:val="17"/>
                <w:szCs w:val="17"/>
              </w:rPr>
              <w:t xml:space="preserve">https://www.w3.org/TR/WCAG22/</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World Wide Web Consortium (MIT, ERCIM, Keio, Beihang). All rights reserved.</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2e7d32"/>
                <w:sz w:val="17"/>
                <w:szCs w:val="17"/>
              </w:rPr>
              <w:t xml:space="preserve">W3C Document Licence — freely reusable for implementing conformance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WCAG guidelines are published under the W3C Document Licence. The guidelines themselves may be freely cited, referenced, and applied. Claiming conformance to WCAG requires implementing the success criteria — there is no licence fee. The W3C name and logo may not be used without permission. Attribution: "Web Content Accessibility Guidelines (WCAG) 2.2 — W3C Recommendation — https://www.w3.org/TR/WCAG22/"</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Australian Government — Disability Gateway</w:t>
            </w:r>
          </w:p>
          <w:p>
            <w:pPr>
              <w:spacing w:after="60" w:before="0"/>
            </w:pPr>
            <w:r>
              <w:rPr>
                <w:rFonts w:ascii="Arial" w:cs="Arial" w:eastAsia="Arial" w:hAnsi="Arial"/>
                <w:b w:val="false"/>
                <w:bCs w:val="false"/>
                <w:color w:val="005F8C"/>
                <w:sz w:val="17"/>
                <w:szCs w:val="17"/>
              </w:rPr>
              <w:t xml:space="preserve">https://www.disabilitygateway.gov.au/ads/strategy/good-practice-guidelines/print-digital-document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Good Practice Guidelines for print and digital documents — applied to ensure all resources meet Australian accessibility expectations for people with disability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https://www.disabilitygateway.gov.au/ads/strategy/good-practice-guidelines/print-digital-document</w:t>
            </w:r>
          </w:p>
        </w:tc>
        <w:tc>
          <w:tcPr>
            <w:tcBorders>
              <w:top w:val="single" w:color="C8D8E8" w:sz="2"/>
              <w:left w:val="single" w:color="C8D8E8" w:sz="2"/>
              <w:bottom w:val="single" w:color="C8D8E8" w:sz="2"/>
              <w:right w:val="single" w:color="C8D8E8" w:sz="2"/>
            </w:tcBorders>
            <w:shd w:fill="ffff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 Australian Government, Department of Social Services. Licensed under Creative Commons.</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2e7d32"/>
                <w:sz w:val="17"/>
                <w:szCs w:val="17"/>
              </w:rPr>
              <w:t xml:space="preserve">Creative Commons Attribution 4.0 International (CC BY 4.0)</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Australian Government Disability Gateway content is published under CC BY 4.0. You may freely use, share, and adapt provided you attribute the Australian Government / Department of Social Services. Guidelines may be implemented and referenced without restriction.</w:t>
            </w:r>
          </w:p>
        </w:tc>
      </w:tr>
    </w:tbl>
    <w:p>
      <w:pPr>
        <w:spacing w:after="2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6a1b9a" w:val="clear"/>
            <w:tcMar>
              <w:top w:type="dxa" w:w="80"/>
              <w:left w:type="dxa" w:w="160"/>
              <w:bottom w:type="dxa" w:w="80"/>
              <w:right w:type="dxa" w:w="80"/>
            </w:tcMar>
            <w:vAlign w:val="top"/>
          </w:tcPr>
          <w:p>
            <w:pPr>
              <w:spacing w:after="80" w:before="80"/>
            </w:pPr>
            <w:r>
              <w:rPr>
                <w:rFonts w:ascii="Arial" w:cs="Arial" w:eastAsia="Arial" w:hAnsi="Arial"/>
                <w:b/>
                <w:bCs/>
                <w:color w:val="FFFFFF"/>
                <w:sz w:val="22"/>
                <w:szCs w:val="22"/>
              </w:rPr>
              <w:t xml:space="preserve">Google Fonts (Typography)</w:t>
            </w:r>
          </w:p>
        </w:tc>
      </w:tr>
    </w:tbl>
    <w:p>
      <w:pPr>
        <w:spacing w:after="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313"/>
        <w:gridCol w:w="1734"/>
        <w:gridCol w:w="1734"/>
        <w:gridCol w:w="2120"/>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Organisation</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Role in Resources</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URL</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Copyright Licence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Key Terms for Educational Use</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bCs/>
                <w:color w:val="003554"/>
                <w:sz w:val="17"/>
                <w:szCs w:val="17"/>
              </w:rPr>
              <w:t xml:space="preserve">Google Fonts</w:t>
            </w:r>
          </w:p>
          <w:p>
            <w:pPr>
              <w:spacing w:after="60" w:before="0"/>
            </w:pPr>
            <w:r>
              <w:rPr>
                <w:rFonts w:ascii="Arial" w:cs="Arial" w:eastAsia="Arial" w:hAnsi="Arial"/>
                <w:b w:val="false"/>
                <w:bCs w:val="false"/>
                <w:color w:val="005F8C"/>
                <w:sz w:val="17"/>
                <w:szCs w:val="17"/>
              </w:rPr>
              <w:t xml:space="preserve">https://fonts.google.com</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Typefaces used across all HTML resources: Poppins (Google Fonts / Indian Type Foundry), DM Sans and DM Mono (Google Fonts / Colophon Foundry), Nunito (Google Fonts / Vernon Adams), Fraunces (Google Fonts / Undercase Type), Noto Sans SC, Noto Sans (Google)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5F8C"/>
                <w:sz w:val="17"/>
                <w:szCs w:val="17"/>
              </w:rPr>
              <w:t xml:space="preserve">https://fonts.google.com</w:t>
            </w:r>
          </w:p>
        </w:tc>
        <w:tc>
          <w:tcPr>
            <w:tcBorders>
              <w:top w:val="single" w:color="C8D8E8" w:sz="2"/>
              <w:left w:val="single" w:color="C8D8E8" w:sz="2"/>
              <w:bottom w:val="single" w:color="C8D8E8" w:sz="2"/>
              <w:right w:val="single" w:color="C8D8E8" w:sz="2"/>
            </w:tcBorders>
            <w:shd w:fill="fffef5" w:val="clear"/>
            <w:tcMar>
              <w:top w:type="dxa" w:w="80"/>
              <w:left w:type="dxa" w:w="120"/>
              <w:bottom w:type="dxa" w:w="80"/>
              <w:right w:type="dxa" w:w="80"/>
            </w:tcMar>
            <w:vAlign w:val="top"/>
          </w:tcPr>
          <w:p>
            <w:pPr>
              <w:spacing w:after="60" w:before="0"/>
            </w:pPr>
            <w:r>
              <w:rPr>
                <w:rFonts w:ascii="Arial" w:cs="Arial" w:eastAsia="Arial" w:hAnsi="Arial"/>
                <w:b w:val="false"/>
                <w:bCs w:val="false"/>
                <w:color w:val="3a2a00"/>
                <w:sz w:val="17"/>
                <w:szCs w:val="17"/>
              </w:rPr>
              <w:t xml:space="preserve">Various — Poppins © Indian Type Foundry; DM Sans &amp; DM Mono © Colophon Foundry; Nunito © Vernon Adams; Fraunces © Undercase Type; Noto fonts © Google LLC</w:t>
            </w:r>
          </w:p>
          <w:p>
            <w:pPr>
              <w:spacing w:after="60" w:before="0"/>
            </w:pPr>
            <w:r>
              <w:rPr>
                <w:rFonts w:ascii="Arial" w:cs="Arial" w:eastAsia="Arial" w:hAnsi="Arial"/>
                <w:b w:val="false"/>
                <w:bCs w:val="false"/>
                <w:color w:val="002B40"/>
                <w:sz w:val="17"/>
                <w:szCs w:val="17"/>
              </w:rPr>
              <w:t xml:space="preserve"/>
            </w:r>
          </w:p>
          <w:p>
            <w:pPr>
              <w:spacing w:after="60" w:before="0"/>
            </w:pPr>
            <w:r>
              <w:rPr>
                <w:rFonts w:ascii="Arial" w:cs="Arial" w:eastAsia="Arial" w:hAnsi="Arial"/>
                <w:b/>
                <w:bCs/>
                <w:color w:val="6a1b9a"/>
                <w:sz w:val="17"/>
                <w:szCs w:val="17"/>
              </w:rPr>
              <w:t xml:space="preserve">SIL Open Font Licence 1.1 (OFL 1.1)</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60" w:before="0"/>
            </w:pPr>
            <w:r>
              <w:rPr>
                <w:rFonts w:ascii="Arial" w:cs="Arial" w:eastAsia="Arial" w:hAnsi="Arial"/>
                <w:b w:val="false"/>
                <w:bCs w:val="false"/>
                <w:color w:val="002B40"/>
                <w:sz w:val="17"/>
                <w:szCs w:val="17"/>
              </w:rPr>
              <w:t xml:space="preserve">All fonts served via Google Fonts are licensed under the SIL Open Font Licence 1.1 or Apache Licence 2.0. Both licences permit: free use in any project (commercial or non-commercial), redistribution, and modification, provided the font name is not used to promote modified versions. No attribution is required in end-user documents but is recommended. The fonts may be embedded in HTML files, PDFs, and documents freely.</w:t>
            </w:r>
          </w:p>
        </w:tc>
      </w:tr>
    </w:tbl>
    <w:p>
      <w:pPr>
        <w:spacing w:after="260" w:before="0"/>
      </w:pPr>
      <w:r>
        <w:t xml:space="preserve"/>
      </w:r>
    </w:p>
    <w:p>
      <w:pPr>
        <w:pBdr>
          <w:top w:val="single" w:color="005F8C" w:sz="8" w:space="1"/>
        </w:pBdr>
        <w:spacing w:after="140" w:before="0"/>
      </w:pPr>
      <w:r>
        <w:t xml:space="preserve"/>
      </w:r>
    </w:p>
    <w:p>
      <w:pPr>
        <w:spacing w:after="120" w:before="0"/>
      </w:pPr>
      <w:r>
        <w:rPr>
          <w:rFonts w:ascii="Arial" w:cs="Arial" w:eastAsia="Arial" w:hAnsi="Arial"/>
          <w:b/>
          <w:bCs/>
          <w:color w:val="003554"/>
          <w:sz w:val="22"/>
          <w:szCs w:val="22"/>
        </w:rPr>
        <w:t xml:space="preserve">Quick Reference — Licence Types Appearing in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313"/>
        <w:gridCol w:w="4240"/>
        <w:gridCol w:w="1734"/>
      </w:tblGrid>
      <w:tr>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Short name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Full licence name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What it means for educational use</w:t>
            </w:r>
          </w:p>
        </w:tc>
        <w:tc>
          <w:tcPr>
            <w:tcBorders>
              <w:top w:val="none" w:color="FFFFFF" w:sz="0"/>
              <w:left w:val="none" w:color="FFFFFF" w:sz="0"/>
              <w:bottom w:val="none" w:color="FFFFFF" w:sz="0"/>
              <w:right w:val="none" w:color="FFFFFF" w:sz="0"/>
            </w:tcBorders>
            <w:shd w:fill="003554" w:val="clear"/>
            <w:tcMar>
              <w:top w:type="dxa" w:w="80"/>
              <w:left w:type="dxa" w:w="120"/>
              <w:bottom w:type="dxa" w:w="80"/>
              <w:right w:type="dxa" w:w="80"/>
            </w:tcMar>
            <w:vAlign w:val="top"/>
          </w:tcPr>
          <w:p>
            <w:pPr>
              <w:spacing w:after="60" w:before="60"/>
            </w:pPr>
            <w:r>
              <w:rPr>
                <w:rFonts w:ascii="Arial" w:cs="Arial" w:eastAsia="Arial" w:hAnsi="Arial"/>
                <w:b/>
                <w:bCs/>
                <w:color w:val="FFFFFF"/>
                <w:sz w:val="18"/>
                <w:szCs w:val="18"/>
              </w:rPr>
              <w:t xml:space="preserve">Colour in document</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2e7d32"/>
                <w:sz w:val="17"/>
                <w:szCs w:val="17"/>
              </w:rPr>
              <w:t xml:space="preserve">CC BY 4.0</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Creative Commons Attribution 4.0 International</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 to use, share, adapt for any purpose (incl. commercial). Must attribute.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2e7d32"/>
                <w:sz w:val="24"/>
                <w:szCs w:val="24"/>
              </w:rPr>
              <w:t xml:space="preserve">█</w:t>
            </w:r>
            <w:r>
              <w:rPr>
                <w:rFonts w:ascii="Arial" w:cs="Arial" w:eastAsia="Arial" w:hAnsi="Arial"/>
                <w:b/>
                <w:bCs/>
                <w:color w:val="2e7d32"/>
                <w:sz w:val="17"/>
                <w:szCs w:val="17"/>
              </w:rPr>
              <w:t xml:space="preserve"> CC BY 4.0</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b/>
                <w:bCs/>
                <w:color w:val="00695c"/>
                <w:sz w:val="17"/>
                <w:szCs w:val="17"/>
              </w:rPr>
              <w:t xml:space="preserve">CC BY-NC 3.0 AU</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Creative Commons Attribution–Non-Commercial 3.0 Australia</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 to use, share, adapt for NON-COMMERCIAL purposes. Must attribute.</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695c"/>
                <w:sz w:val="24"/>
                <w:szCs w:val="24"/>
              </w:rPr>
              <w:t xml:space="preserve">█</w:t>
            </w:r>
            <w:r>
              <w:rPr>
                <w:rFonts w:ascii="Arial" w:cs="Arial" w:eastAsia="Arial" w:hAnsi="Arial"/>
                <w:b/>
                <w:bCs/>
                <w:color w:val="00695c"/>
                <w:sz w:val="17"/>
                <w:szCs w:val="17"/>
              </w:rPr>
              <w:t xml:space="preserve"> CC BY-NC 3.0 AU</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005F8C"/>
                <w:sz w:val="17"/>
                <w:szCs w:val="17"/>
              </w:rPr>
              <w:t xml:space="preserve">CC BY-NC-SA 3.0 IGO</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Creative Commons Attribution–Non-Commercial–ShareAlike 3.0 IGO</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 to use and adapt for NON-COMMERCIAL purposes. Must attribute. Adapted works must use same licence.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5F8C"/>
                <w:sz w:val="24"/>
                <w:szCs w:val="24"/>
              </w:rPr>
              <w:t xml:space="preserve">█</w:t>
            </w:r>
            <w:r>
              <w:rPr>
                <w:rFonts w:ascii="Arial" w:cs="Arial" w:eastAsia="Arial" w:hAnsi="Arial"/>
                <w:b/>
                <w:bCs/>
                <w:color w:val="005F8C"/>
                <w:sz w:val="17"/>
                <w:szCs w:val="17"/>
              </w:rPr>
              <w:t xml:space="preserve"> CC BY-NC-SA 3.0 IGO</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b/>
                <w:bCs/>
                <w:color w:val="6a1b9a"/>
                <w:sz w:val="17"/>
                <w:szCs w:val="17"/>
              </w:rPr>
              <w:t xml:space="preserve">OFL 1.1</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SIL Open Font Licence 1.1</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Fonts freely usable in any project. Modified versions must use OFL and cannot use original font name.</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6a1b9a"/>
                <w:sz w:val="24"/>
                <w:szCs w:val="24"/>
              </w:rPr>
              <w:t xml:space="preserve">█</w:t>
            </w:r>
            <w:r>
              <w:rPr>
                <w:rFonts w:ascii="Arial" w:cs="Arial" w:eastAsia="Arial" w:hAnsi="Arial"/>
                <w:b/>
                <w:bCs/>
                <w:color w:val="6a1b9a"/>
                <w:sz w:val="17"/>
                <w:szCs w:val="17"/>
              </w:rPr>
              <w:t xml:space="preserve"> OFL 1.1</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1a1a1a"/>
                <w:sz w:val="17"/>
                <w:szCs w:val="17"/>
              </w:rPr>
              <w:t xml:space="preserve">Public Domain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No copyright restrictions (US Federal Government works)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Freely reproducible without restriction. Attribution requested.</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1a1a1a"/>
                <w:sz w:val="24"/>
                <w:szCs w:val="24"/>
              </w:rPr>
              <w:t xml:space="preserve">█</w:t>
            </w:r>
            <w:r>
              <w:rPr>
                <w:rFonts w:ascii="Arial" w:cs="Arial" w:eastAsia="Arial" w:hAnsi="Arial"/>
                <w:b/>
                <w:bCs/>
                <w:color w:val="1a1a1a"/>
                <w:sz w:val="17"/>
                <w:szCs w:val="17"/>
              </w:rPr>
              <w:t xml:space="preserve"> Public Domain</w:t>
            </w:r>
          </w:p>
        </w:tc>
      </w:tr>
      <w:tr>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b/>
                <w:bCs/>
                <w:color w:val="c62828"/>
                <w:sz w:val="17"/>
                <w:szCs w:val="17"/>
              </w:rPr>
              <w:t xml:space="preserve">All Rights Reserved</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Standard full copyright</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Permission required for reproduction beyond fair dealing. Educational fair dealing may apply.</w:t>
            </w:r>
          </w:p>
        </w:tc>
        <w:tc>
          <w:tcPr>
            <w:tcBorders>
              <w:top w:val="single" w:color="C8D8E8" w:sz="2"/>
              <w:left w:val="single" w:color="C8D8E8" w:sz="2"/>
              <w:bottom w:val="single" w:color="C8D8E8" w:sz="2"/>
              <w:right w:val="single" w:color="C8D8E8" w:sz="2"/>
            </w:tcBorders>
            <w:shd w:fill="F0F4F8" w:val="clear"/>
            <w:tcMar>
              <w:top w:type="dxa" w:w="80"/>
              <w:left w:type="dxa" w:w="120"/>
              <w:bottom w:type="dxa" w:w="80"/>
              <w:right w:type="dxa" w:w="80"/>
            </w:tcMar>
            <w:vAlign w:val="top"/>
          </w:tcPr>
          <w:p>
            <w:pPr>
              <w:spacing w:after="40" w:before="0"/>
            </w:pPr>
            <w:r>
              <w:rPr>
                <w:rFonts w:ascii="Arial" w:cs="Arial" w:eastAsia="Arial" w:hAnsi="Arial"/>
                <w:color w:val="c62828"/>
                <w:sz w:val="24"/>
                <w:szCs w:val="24"/>
              </w:rPr>
              <w:t xml:space="preserve">█</w:t>
            </w:r>
            <w:r>
              <w:rPr>
                <w:rFonts w:ascii="Arial" w:cs="Arial" w:eastAsia="Arial" w:hAnsi="Arial"/>
                <w:b/>
                <w:bCs/>
                <w:color w:val="c62828"/>
                <w:sz w:val="17"/>
                <w:szCs w:val="17"/>
              </w:rPr>
              <w:t xml:space="preserve"> All Rights Reserved</w:t>
            </w:r>
          </w:p>
        </w:tc>
      </w:tr>
      <w:tr>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b/>
                <w:bCs/>
                <w:color w:val="b45309"/>
                <w:sz w:val="17"/>
                <w:szCs w:val="17"/>
              </w:rPr>
              <w:t xml:space="preserve">Fair Dealing (Aus)</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002B40"/>
                <w:sz w:val="17"/>
                <w:szCs w:val="17"/>
              </w:rPr>
              <w:t xml:space="preserve">Australian Copyright Act 1968 s.40–41 — educational exception</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3a6a8a"/>
                <w:sz w:val="17"/>
                <w:szCs w:val="17"/>
              </w:rPr>
              <w:t xml:space="preserve">Allows reproduction of "reasonable" portions of copyright works for research, study, reporting, criticism. Not a licence — a statutory exception. Contact Copyright Agency for guidance.</w:t>
            </w:r>
          </w:p>
        </w:tc>
        <w:tc>
          <w:tcPr>
            <w:tcBorders>
              <w:top w:val="single" w:color="C8D8E8" w:sz="2"/>
              <w:left w:val="single" w:color="C8D8E8" w:sz="2"/>
              <w:bottom w:val="single" w:color="C8D8E8" w:sz="2"/>
              <w:right w:val="single" w:color="C8D8E8" w:sz="2"/>
            </w:tcBorders>
            <w:shd w:fill="FFFFFF" w:val="clear"/>
            <w:tcMar>
              <w:top w:type="dxa" w:w="80"/>
              <w:left w:type="dxa" w:w="120"/>
              <w:bottom w:type="dxa" w:w="80"/>
              <w:right w:type="dxa" w:w="80"/>
            </w:tcMar>
            <w:vAlign w:val="top"/>
          </w:tcPr>
          <w:p>
            <w:pPr>
              <w:spacing w:after="40" w:before="0"/>
            </w:pPr>
            <w:r>
              <w:rPr>
                <w:rFonts w:ascii="Arial" w:cs="Arial" w:eastAsia="Arial" w:hAnsi="Arial"/>
                <w:color w:val="b45309"/>
                <w:sz w:val="24"/>
                <w:szCs w:val="24"/>
              </w:rPr>
              <w:t xml:space="preserve">█</w:t>
            </w:r>
            <w:r>
              <w:rPr>
                <w:rFonts w:ascii="Arial" w:cs="Arial" w:eastAsia="Arial" w:hAnsi="Arial"/>
                <w:b/>
                <w:bCs/>
                <w:color w:val="b45309"/>
                <w:sz w:val="17"/>
                <w:szCs w:val="17"/>
              </w:rPr>
              <w:t xml:space="preserve"> Fair Dealing (Aus)</w:t>
            </w:r>
          </w:p>
        </w:tc>
      </w:tr>
    </w:tbl>
    <w:p>
      <w:pPr>
        <w:spacing w:after="160" w:before="0"/>
      </w:pPr>
      <w:r>
        <w:t xml:space="preserve"/>
      </w:r>
    </w:p>
    <w:p>
      <w:pPr>
        <w:spacing w:after="60" w:before="0"/>
      </w:pPr>
      <w:r>
        <w:rPr>
          <w:rFonts w:ascii="Arial" w:cs="Arial" w:eastAsia="Arial" w:hAnsi="Arial"/>
          <w:color w:val="3a6a8a"/>
          <w:sz w:val="16"/>
          <w:szCs w:val="16"/>
        </w:rPr>
        <w:t xml:space="preserve">Further resources: Australian Copyright Council — https://www.copyright.org.au  |  Smartcopying (national copyright guidance for Australian schools) — https://www.smartcopying.edu.au</w:t>
      </w:r>
    </w:p>
    <w:p>
      <w:pPr>
        <w:spacing w:after="0" w:before="0"/>
      </w:pPr>
      <w:r>
        <w:rPr>
          <w:rFonts w:ascii="Arial" w:cs="Arial" w:eastAsia="Arial" w:hAnsi="Arial"/>
          <w:color w:val="c62828"/>
          <w:sz w:val="16"/>
          <w:szCs w:val="16"/>
        </w:rPr>
        <w:t xml:space="preserve">Copyright licence terms verified May 2026. Terms may change — verify directly with each organisation before distribution or publication.</w:t>
      </w:r>
    </w:p>
    <w:sectPr>
      <w:footerReference w:type="default" r:id="rId7"/>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tabs>
        <w:tab w:val="right" w:pos="9638"/>
      </w:tabs>
      <w:spacing w:before="80"/>
    </w:pPr>
    <w:r>
      <w:rPr>
        <w:rFonts w:ascii="Arial" w:cs="Arial" w:eastAsia="Arial" w:hAnsi="Arial"/>
        <w:color w:val="3a6a8a"/>
        <w:sz w:val="16"/>
        <w:szCs w:val="16"/>
      </w:rPr>
      <w:t xml:space="preserve">Swim &amp; Water Safety — Copyright Ownership &amp; Licensing Summary  |  Em Harrison  |  swimwater.safety@gmail.com</w:t>
    </w:r>
    <w:r>
      <w:rPr>
        <w:rFonts w:ascii="Arial" w:cs="Arial" w:eastAsia="Arial" w:hAnsi="Arial"/>
        <w:sz w:val="16"/>
        <w:szCs w:val="16"/>
      </w:rPr>
      <w:t xml:space="preserve">	</w:t>
    </w:r>
    <w:r>
      <w:rPr>
        <w:rFonts w:ascii="Arial" w:cs="Arial" w:eastAsia="Arial" w:hAnsi="Arial"/>
        <w:color w:val="3a6a8a"/>
        <w:sz w:val="16"/>
        <w:szCs w:val="16"/>
      </w:rPr>
      <w:t xml:space="preserve">Page </w:t>
    </w:r>
    <w:fldSimple w:instr="PAGE">
      <w:r>
        <w:rPr>
          <w:rFonts w:ascii="Arial" w:cs="Arial" w:eastAsia="Arial" w:hAnsi="Arial"/>
          <w:color w:val="3a6a8a"/>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2026-05-06T00:51:31.014Z</dcterms:created>
  <dcterms:modified xsi:type="dcterms:W3CDTF">2026-05-06T00:51:31.015Z</dcterms:modified>
</cp:coreProperties>
</file>

<file path=docProps/custom.xml><?xml version="1.0" encoding="utf-8"?>
<Properties xmlns="http://schemas.openxmlformats.org/officeDocument/2006/custom-properties" xmlns:vt="http://schemas.openxmlformats.org/officeDocument/2006/docPropsVTypes"/>
</file>