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37" w:rsidRPr="005726BA" w:rsidRDefault="008C29B4" w:rsidP="00C73737">
      <w:pPr>
        <w:jc w:val="center"/>
        <w:rPr>
          <w:sz w:val="40"/>
          <w:szCs w:val="40"/>
          <w:lang w:val="en-US" w:eastAsia="fr-CH"/>
        </w:rPr>
      </w:pPr>
      <w:r w:rsidRPr="005726BA">
        <w:rPr>
          <w:sz w:val="40"/>
          <w:szCs w:val="40"/>
          <w:lang w:val="en-US" w:eastAsia="fr-CH"/>
        </w:rPr>
        <w:t>FMECA</w:t>
      </w:r>
      <w:r w:rsidR="00C73737" w:rsidRPr="005726BA">
        <w:rPr>
          <w:sz w:val="40"/>
          <w:szCs w:val="40"/>
          <w:lang w:val="en-US" w:eastAsia="fr-CH"/>
        </w:rPr>
        <w:t xml:space="preserve">, </w:t>
      </w:r>
      <w:r w:rsidR="005726BA" w:rsidRPr="005726BA">
        <w:rPr>
          <w:sz w:val="40"/>
          <w:szCs w:val="40"/>
          <w:lang w:val="en-US"/>
        </w:rPr>
        <w:t>Failure mode, effects, and criticality analysis</w:t>
      </w:r>
    </w:p>
    <w:p w:rsidR="00C73737" w:rsidRDefault="00C73737" w:rsidP="00C73737">
      <w:pPr>
        <w:rPr>
          <w:lang w:eastAsia="fr-CH"/>
        </w:rPr>
      </w:pPr>
      <w:r>
        <w:rPr>
          <w:lang w:eastAsia="fr-CH"/>
        </w:rPr>
        <w:t xml:space="preserve">Ce document fait détaille </w:t>
      </w:r>
      <w:r w:rsidR="007E6940">
        <w:rPr>
          <w:lang w:eastAsia="fr-CH"/>
        </w:rPr>
        <w:t xml:space="preserve">de </w:t>
      </w:r>
      <w:r w:rsidR="003B3B17">
        <w:rPr>
          <w:lang w:eastAsia="fr-CH"/>
        </w:rPr>
        <w:t xml:space="preserve">l’analyse </w:t>
      </w:r>
      <w:r w:rsidR="008C29B4">
        <w:rPr>
          <w:lang w:eastAsia="fr-CH"/>
        </w:rPr>
        <w:t>FMECA</w:t>
      </w:r>
    </w:p>
    <w:p w:rsidR="006B4BFD" w:rsidRDefault="008C29B4" w:rsidP="006B4BFD">
      <w:pPr>
        <w:pStyle w:val="Heading1"/>
        <w:rPr>
          <w:lang w:eastAsia="fr-CH"/>
        </w:rPr>
      </w:pPr>
      <w:r>
        <w:rPr>
          <w:lang w:eastAsia="fr-CH"/>
        </w:rPr>
        <w:t>Introduction</w:t>
      </w:r>
    </w:p>
    <w:p w:rsidR="00313D77" w:rsidRDefault="005726BA" w:rsidP="00782A22">
      <w:pPr>
        <w:rPr>
          <w:lang w:eastAsia="fr-CH"/>
        </w:rPr>
      </w:pPr>
      <w:r>
        <w:rPr>
          <w:lang w:eastAsia="fr-CH"/>
        </w:rPr>
        <w:t xml:space="preserve">Cet analyse </w:t>
      </w:r>
      <w:r w:rsidRPr="005726BA">
        <w:rPr>
          <w:lang w:eastAsia="fr-CH"/>
        </w:rPr>
        <w:t>détermine les mode</w:t>
      </w:r>
      <w:r>
        <w:rPr>
          <w:lang w:eastAsia="fr-CH"/>
        </w:rPr>
        <w:t>s</w:t>
      </w:r>
      <w:r w:rsidRPr="005726BA">
        <w:rPr>
          <w:lang w:eastAsia="fr-CH"/>
        </w:rPr>
        <w:t xml:space="preserve"> de défaillance, leurs effets et le risque y associé</w:t>
      </w:r>
      <w:r>
        <w:rPr>
          <w:lang w:eastAsia="fr-CH"/>
        </w:rPr>
        <w:t>. La FMECA s’appuie sur un tableau, arbre des défauts et des échelles de criticité et de sévérité.</w:t>
      </w:r>
    </w:p>
    <w:p w:rsidR="00313D77" w:rsidRDefault="005726BA" w:rsidP="00782A22">
      <w:pPr>
        <w:rPr>
          <w:lang w:eastAsia="fr-CH"/>
        </w:rPr>
      </w:pPr>
      <w:r>
        <w:rPr>
          <w:lang w:eastAsia="fr-CH"/>
        </w:rPr>
        <w:t xml:space="preserve">Cette analyse est faite selon </w:t>
      </w:r>
      <w:r w:rsidR="00313D77">
        <w:rPr>
          <w:lang w:eastAsia="fr-CH"/>
        </w:rPr>
        <w:t>la norme</w:t>
      </w:r>
      <w:r>
        <w:rPr>
          <w:lang w:eastAsia="fr-CH"/>
        </w:rPr>
        <w:t xml:space="preserve"> </w:t>
      </w:r>
      <w:r w:rsidRPr="005726BA">
        <w:rPr>
          <w:lang w:eastAsia="fr-CH"/>
        </w:rPr>
        <w:t>MIL</w:t>
      </w:r>
      <w:r>
        <w:rPr>
          <w:lang w:eastAsia="fr-CH"/>
        </w:rPr>
        <w:t>-</w:t>
      </w:r>
      <w:r w:rsidRPr="005726BA">
        <w:rPr>
          <w:lang w:eastAsia="fr-CH"/>
        </w:rPr>
        <w:t>STD-1629A</w:t>
      </w:r>
      <w:r>
        <w:rPr>
          <w:lang w:eastAsia="fr-CH"/>
        </w:rPr>
        <w:t>.</w:t>
      </w:r>
    </w:p>
    <w:p w:rsidR="005726BA" w:rsidRDefault="005726BA" w:rsidP="005726BA">
      <w:pPr>
        <w:pStyle w:val="Heading1"/>
        <w:rPr>
          <w:rFonts w:eastAsia="Times New Roman"/>
          <w:lang w:eastAsia="fr-CH"/>
        </w:rPr>
      </w:pPr>
      <w:r w:rsidRPr="005726BA">
        <w:rPr>
          <w:rFonts w:eastAsia="Times New Roman"/>
          <w:lang w:eastAsia="fr-CH"/>
        </w:rPr>
        <w:t>Etablir un schéma fonctionnel</w:t>
      </w:r>
    </w:p>
    <w:p w:rsidR="00AA298B" w:rsidRPr="00AA298B" w:rsidRDefault="00AA298B" w:rsidP="00AA298B">
      <w:pPr>
        <w:rPr>
          <w:lang w:eastAsia="fr-CH"/>
        </w:rPr>
      </w:pPr>
      <w:r>
        <w:rPr>
          <w:lang w:eastAsia="fr-CH"/>
        </w:rPr>
        <w:t>Le schéma bloc est situé dans le répertoire « SchemaBloc » du projet. Cette image montre le système complet en blocs fonctionnels.</w:t>
      </w:r>
    </w:p>
    <w:p w:rsidR="005726BA" w:rsidRDefault="005726BA" w:rsidP="005726BA">
      <w:pPr>
        <w:pStyle w:val="Heading1"/>
        <w:rPr>
          <w:rFonts w:eastAsia="Times New Roman"/>
          <w:lang w:eastAsia="fr-CH"/>
        </w:rPr>
      </w:pPr>
      <w:r w:rsidRPr="005726BA">
        <w:rPr>
          <w:rFonts w:eastAsia="Times New Roman"/>
          <w:lang w:eastAsia="fr-CH"/>
        </w:rPr>
        <w:t>Déterminer les modes de fonctionnement</w:t>
      </w:r>
    </w:p>
    <w:p w:rsidR="004B5E55" w:rsidRDefault="00AF66F5" w:rsidP="004B5E55">
      <w:pPr>
        <w:rPr>
          <w:lang w:eastAsia="fr-CH"/>
        </w:rPr>
      </w:pPr>
      <w:r>
        <w:rPr>
          <w:lang w:eastAsia="fr-CH"/>
        </w:rPr>
        <w:t>Les modes de fonctionnement normal du CanSat sont les suivants :</w:t>
      </w:r>
    </w:p>
    <w:p w:rsidR="00A65D65" w:rsidRDefault="00CF3D4B" w:rsidP="004B5E55">
      <w:pPr>
        <w:rPr>
          <w:lang w:eastAsia="fr-CH"/>
        </w:rPr>
      </w:pPr>
      <w:r>
        <w:rPr>
          <w:lang w:eastAsia="fr-CH"/>
        </w:rPr>
        <w:t>Le mode de fonctionnement global est que toutes les sous parties du CanSat sont opérationnel. Avec les alimentations, les capteurs, le convertisseur, le protocole de communication et la logique numérique (FPGA) fonctionnelle</w:t>
      </w:r>
      <w:r w:rsidR="00A65D65">
        <w:rPr>
          <w:lang w:eastAsia="fr-CH"/>
        </w:rPr>
        <w:t>s</w:t>
      </w:r>
      <w:r>
        <w:rPr>
          <w:lang w:eastAsia="fr-CH"/>
        </w:rPr>
        <w:t>.</w:t>
      </w:r>
    </w:p>
    <w:p w:rsidR="00A65D65" w:rsidRDefault="00A65D65" w:rsidP="004B5E55">
      <w:pPr>
        <w:rPr>
          <w:lang w:eastAsia="fr-CH"/>
        </w:rPr>
      </w:pPr>
      <w:r>
        <w:rPr>
          <w:lang w:eastAsia="fr-CH"/>
        </w:rPr>
        <w:t>Vue détaillée des modes de fonctionnement sont listées dans le tableau</w:t>
      </w:r>
      <w:r w:rsidR="00782A22">
        <w:rPr>
          <w:lang w:eastAsia="fr-CH"/>
        </w:rPr>
        <w:t xml:space="preserve"> 1</w:t>
      </w:r>
      <w:r>
        <w:rPr>
          <w:lang w:eastAsia="fr-CH"/>
        </w:rPr>
        <w:t xml:space="preserve"> suivant :</w:t>
      </w:r>
    </w:p>
    <w:tbl>
      <w:tblPr>
        <w:tblStyle w:val="TableGrid"/>
        <w:tblW w:w="0" w:type="auto"/>
        <w:tblLook w:val="04A0" w:firstRow="1" w:lastRow="0" w:firstColumn="1" w:lastColumn="0" w:noHBand="0" w:noVBand="1"/>
      </w:tblPr>
      <w:tblGrid>
        <w:gridCol w:w="3256"/>
        <w:gridCol w:w="5806"/>
      </w:tblGrid>
      <w:tr w:rsidR="00CF3D4B" w:rsidTr="00A6634A">
        <w:tc>
          <w:tcPr>
            <w:tcW w:w="3256" w:type="dxa"/>
          </w:tcPr>
          <w:p w:rsidR="00CF3D4B" w:rsidRDefault="00CF3D4B" w:rsidP="00CF3D4B">
            <w:pPr>
              <w:rPr>
                <w:lang w:eastAsia="fr-CH"/>
              </w:rPr>
            </w:pPr>
            <w:r>
              <w:rPr>
                <w:lang w:eastAsia="fr-CH"/>
              </w:rPr>
              <w:t>Blocs fonctionnels</w:t>
            </w:r>
          </w:p>
        </w:tc>
        <w:tc>
          <w:tcPr>
            <w:tcW w:w="5806" w:type="dxa"/>
          </w:tcPr>
          <w:p w:rsidR="00CF3D4B" w:rsidRDefault="00CF3D4B" w:rsidP="00CF3D4B">
            <w:pPr>
              <w:rPr>
                <w:lang w:eastAsia="fr-CH"/>
              </w:rPr>
            </w:pPr>
            <w:r>
              <w:rPr>
                <w:lang w:eastAsia="fr-CH"/>
              </w:rPr>
              <w:t>Mode de fonctionnement</w:t>
            </w:r>
          </w:p>
        </w:tc>
      </w:tr>
      <w:tr w:rsidR="00CF3D4B" w:rsidTr="00A6634A">
        <w:tc>
          <w:tcPr>
            <w:tcW w:w="3256" w:type="dxa"/>
          </w:tcPr>
          <w:p w:rsidR="00CF3D4B" w:rsidRDefault="00CF3D4B" w:rsidP="00CF3D4B">
            <w:pPr>
              <w:rPr>
                <w:lang w:eastAsia="fr-CH"/>
              </w:rPr>
            </w:pPr>
            <w:r>
              <w:rPr>
                <w:lang w:eastAsia="fr-CH"/>
              </w:rPr>
              <w:t>Alimentations</w:t>
            </w:r>
          </w:p>
        </w:tc>
        <w:tc>
          <w:tcPr>
            <w:tcW w:w="5806" w:type="dxa"/>
          </w:tcPr>
          <w:p w:rsidR="00CF3D4B" w:rsidRDefault="00A6634A" w:rsidP="00A6634A">
            <w:pPr>
              <w:rPr>
                <w:lang w:eastAsia="fr-CH"/>
              </w:rPr>
            </w:pPr>
            <w:r>
              <w:rPr>
                <w:lang w:eastAsia="fr-CH"/>
              </w:rPr>
              <w:t>Tension 3.3V et 5V en sortie</w:t>
            </w:r>
          </w:p>
        </w:tc>
      </w:tr>
      <w:tr w:rsidR="00CF3D4B" w:rsidTr="00A6634A">
        <w:tc>
          <w:tcPr>
            <w:tcW w:w="3256" w:type="dxa"/>
          </w:tcPr>
          <w:p w:rsidR="00CF3D4B" w:rsidRDefault="00CF3D4B" w:rsidP="00CF3D4B">
            <w:pPr>
              <w:rPr>
                <w:lang w:eastAsia="fr-CH"/>
              </w:rPr>
            </w:pPr>
            <w:r>
              <w:rPr>
                <w:lang w:eastAsia="fr-CH"/>
              </w:rPr>
              <w:t>Capteur courant-tension</w:t>
            </w:r>
          </w:p>
        </w:tc>
        <w:tc>
          <w:tcPr>
            <w:tcW w:w="5806" w:type="dxa"/>
          </w:tcPr>
          <w:p w:rsidR="00CF3D4B" w:rsidRDefault="00A6634A" w:rsidP="00CF3D4B">
            <w:pPr>
              <w:rPr>
                <w:lang w:eastAsia="fr-CH"/>
              </w:rPr>
            </w:pPr>
            <w:r>
              <w:rPr>
                <w:lang w:eastAsia="fr-CH"/>
              </w:rPr>
              <w:t>Mesure du courant au travers de l’ampli op</w:t>
            </w:r>
          </w:p>
        </w:tc>
      </w:tr>
      <w:tr w:rsidR="00CF3D4B" w:rsidTr="00A6634A">
        <w:tc>
          <w:tcPr>
            <w:tcW w:w="3256" w:type="dxa"/>
          </w:tcPr>
          <w:p w:rsidR="00CF3D4B" w:rsidRDefault="00CF3D4B" w:rsidP="00CF3D4B">
            <w:pPr>
              <w:rPr>
                <w:lang w:eastAsia="fr-CH"/>
              </w:rPr>
            </w:pPr>
            <w:r>
              <w:rPr>
                <w:lang w:eastAsia="fr-CH"/>
              </w:rPr>
              <w:t>Échantillonnage courant-tension</w:t>
            </w:r>
          </w:p>
        </w:tc>
        <w:tc>
          <w:tcPr>
            <w:tcW w:w="5806" w:type="dxa"/>
          </w:tcPr>
          <w:p w:rsidR="00CF3D4B" w:rsidRDefault="00A6634A" w:rsidP="00CF3D4B">
            <w:pPr>
              <w:rPr>
                <w:lang w:eastAsia="fr-CH"/>
              </w:rPr>
            </w:pPr>
            <w:r>
              <w:rPr>
                <w:lang w:eastAsia="fr-CH"/>
              </w:rPr>
              <w:t>Le convertisseur échantillonne et fournit les valeurs</w:t>
            </w:r>
          </w:p>
        </w:tc>
      </w:tr>
      <w:tr w:rsidR="00CF3D4B" w:rsidTr="00A6634A">
        <w:tc>
          <w:tcPr>
            <w:tcW w:w="3256" w:type="dxa"/>
          </w:tcPr>
          <w:p w:rsidR="00CF3D4B" w:rsidRDefault="00CF3D4B" w:rsidP="00CF3D4B">
            <w:pPr>
              <w:rPr>
                <w:lang w:eastAsia="fr-CH"/>
              </w:rPr>
            </w:pPr>
            <w:r>
              <w:rPr>
                <w:lang w:eastAsia="fr-CH"/>
              </w:rPr>
              <w:t>Communication partie logique</w:t>
            </w:r>
          </w:p>
        </w:tc>
        <w:tc>
          <w:tcPr>
            <w:tcW w:w="5806" w:type="dxa"/>
          </w:tcPr>
          <w:p w:rsidR="00CF3D4B" w:rsidRDefault="00A6634A" w:rsidP="00CF3D4B">
            <w:pPr>
              <w:rPr>
                <w:lang w:eastAsia="fr-CH"/>
              </w:rPr>
            </w:pPr>
            <w:r>
              <w:rPr>
                <w:lang w:eastAsia="fr-CH"/>
              </w:rPr>
              <w:t>Communication entre la carte capteur et celle de la FPGA</w:t>
            </w:r>
          </w:p>
        </w:tc>
      </w:tr>
      <w:tr w:rsidR="00CF3D4B" w:rsidTr="00A6634A">
        <w:tc>
          <w:tcPr>
            <w:tcW w:w="3256" w:type="dxa"/>
          </w:tcPr>
          <w:p w:rsidR="00CF3D4B" w:rsidRDefault="00CF3D4B" w:rsidP="00CF3D4B">
            <w:pPr>
              <w:rPr>
                <w:lang w:eastAsia="fr-CH"/>
              </w:rPr>
            </w:pPr>
            <w:r>
              <w:rPr>
                <w:lang w:eastAsia="fr-CH"/>
              </w:rPr>
              <w:t>FPGA</w:t>
            </w:r>
          </w:p>
        </w:tc>
        <w:tc>
          <w:tcPr>
            <w:tcW w:w="5806" w:type="dxa"/>
          </w:tcPr>
          <w:p w:rsidR="00CF3D4B" w:rsidRDefault="00A6634A" w:rsidP="00C83060">
            <w:pPr>
              <w:keepNext/>
              <w:rPr>
                <w:lang w:eastAsia="fr-CH"/>
              </w:rPr>
            </w:pPr>
            <w:r>
              <w:rPr>
                <w:lang w:eastAsia="fr-CH"/>
              </w:rPr>
              <w:t>Bon traitement de donnée reçu sur les ports d’entrées</w:t>
            </w:r>
          </w:p>
        </w:tc>
      </w:tr>
    </w:tbl>
    <w:p w:rsidR="00AF66F5" w:rsidRPr="004B5E55" w:rsidRDefault="00C83060" w:rsidP="00C83060">
      <w:pPr>
        <w:pStyle w:val="Caption"/>
        <w:jc w:val="center"/>
        <w:rPr>
          <w:lang w:eastAsia="fr-CH"/>
        </w:rPr>
      </w:pPr>
      <w:r>
        <w:t xml:space="preserve">Tableau </w:t>
      </w:r>
      <w:fldSimple w:instr=" SEQ Tableau \* ARABIC ">
        <w:r>
          <w:rPr>
            <w:noProof/>
          </w:rPr>
          <w:t>1</w:t>
        </w:r>
      </w:fldSimple>
      <w:r>
        <w:t xml:space="preserve"> mode de fonctionnement</w:t>
      </w:r>
    </w:p>
    <w:p w:rsidR="005726BA" w:rsidRDefault="005726BA" w:rsidP="005726BA">
      <w:pPr>
        <w:pStyle w:val="Heading1"/>
        <w:rPr>
          <w:rFonts w:eastAsia="Times New Roman"/>
          <w:lang w:eastAsia="fr-CH"/>
        </w:rPr>
      </w:pPr>
      <w:r w:rsidRPr="005726BA">
        <w:rPr>
          <w:rFonts w:eastAsia="Times New Roman"/>
          <w:lang w:eastAsia="fr-CH"/>
        </w:rPr>
        <w:t>Construire un arbre des défaillances</w:t>
      </w:r>
    </w:p>
    <w:p w:rsidR="00C83060" w:rsidRDefault="00C83060" w:rsidP="00C83060">
      <w:pPr>
        <w:rPr>
          <w:lang w:eastAsia="fr-CH"/>
        </w:rPr>
      </w:pPr>
      <w:r>
        <w:rPr>
          <w:lang w:eastAsia="fr-CH"/>
        </w:rPr>
        <w:t xml:space="preserve">La figure </w:t>
      </w:r>
      <w:r w:rsidR="00782A22">
        <w:rPr>
          <w:lang w:eastAsia="fr-CH"/>
        </w:rPr>
        <w:t xml:space="preserve">1 </w:t>
      </w:r>
      <w:bookmarkStart w:id="0" w:name="_GoBack"/>
      <w:bookmarkEnd w:id="0"/>
      <w:r>
        <w:rPr>
          <w:lang w:eastAsia="fr-CH"/>
        </w:rPr>
        <w:t>suivante montre l’arbre de défaillance du système de mesure courant-tension avec shunt :</w:t>
      </w:r>
    </w:p>
    <w:p w:rsidR="00C83060" w:rsidRDefault="00C83060" w:rsidP="00C83060">
      <w:pPr>
        <w:keepNext/>
      </w:pPr>
      <w:r>
        <w:rPr>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84.5pt">
            <v:imagedata r:id="rId5" o:title="arbre" cropbottom="3766f" cropright="1628f"/>
          </v:shape>
        </w:pict>
      </w:r>
    </w:p>
    <w:p w:rsidR="00C83060" w:rsidRPr="00C83060" w:rsidRDefault="00C83060" w:rsidP="00C83060">
      <w:pPr>
        <w:pStyle w:val="Caption"/>
        <w:jc w:val="center"/>
        <w:rPr>
          <w:lang w:eastAsia="fr-CH"/>
        </w:rPr>
      </w:pPr>
      <w:r>
        <w:t xml:space="preserve">Figure </w:t>
      </w:r>
      <w:fldSimple w:instr=" SEQ Figure \* ARABIC ">
        <w:r>
          <w:rPr>
            <w:noProof/>
          </w:rPr>
          <w:t>1</w:t>
        </w:r>
      </w:fldSimple>
      <w:r>
        <w:t xml:space="preserve"> Arbre de défaillance</w:t>
      </w:r>
    </w:p>
    <w:p w:rsidR="00C83060" w:rsidRPr="005726BA" w:rsidRDefault="005726BA" w:rsidP="00C83060">
      <w:pPr>
        <w:pStyle w:val="Heading1"/>
        <w:rPr>
          <w:rFonts w:eastAsia="Times New Roman"/>
          <w:lang w:eastAsia="fr-CH"/>
        </w:rPr>
      </w:pPr>
      <w:r w:rsidRPr="005726BA">
        <w:rPr>
          <w:rFonts w:eastAsia="Times New Roman"/>
          <w:lang w:eastAsia="fr-CH"/>
        </w:rPr>
        <w:lastRenderedPageBreak/>
        <w:t>Déterminer les modes de défaillance</w:t>
      </w:r>
      <w:r w:rsidR="00C83060">
        <w:rPr>
          <w:rFonts w:eastAsia="Times New Roman"/>
          <w:lang w:eastAsia="fr-CH"/>
        </w:rPr>
        <w:t xml:space="preserve"> et </w:t>
      </w:r>
      <w:r w:rsidR="00C83060" w:rsidRPr="005726BA">
        <w:rPr>
          <w:rFonts w:eastAsia="Times New Roman"/>
          <w:lang w:eastAsia="fr-CH"/>
        </w:rPr>
        <w:t>Qualifier la criticité des défaillances</w:t>
      </w:r>
    </w:p>
    <w:p w:rsidR="00C83060" w:rsidRDefault="00C83060" w:rsidP="00C83060">
      <w:pPr>
        <w:rPr>
          <w:lang w:eastAsia="fr-CH"/>
        </w:rPr>
      </w:pPr>
      <w:r>
        <w:rPr>
          <w:lang w:eastAsia="fr-CH"/>
        </w:rPr>
        <w:t>Le tableau dans le fichier « fmeca_table » liste les modes de défaillance ainsi que la criticité des défaillances.</w:t>
      </w:r>
    </w:p>
    <w:p w:rsidR="00C83060" w:rsidRPr="00C83060" w:rsidRDefault="00C83060" w:rsidP="00C83060">
      <w:pPr>
        <w:rPr>
          <w:lang w:eastAsia="fr-CH"/>
        </w:rPr>
      </w:pPr>
      <w:r>
        <w:rPr>
          <w:lang w:eastAsia="fr-CH"/>
        </w:rPr>
        <w:t xml:space="preserve">En résumé, la mesure de courant-tension à la source d’alimentation de la carte est très délicat, comme le montre le résultat, si </w:t>
      </w:r>
      <w:r w:rsidR="00A6634A">
        <w:rPr>
          <w:lang w:eastAsia="fr-CH"/>
        </w:rPr>
        <w:t>soit la shunt, soit l’amplificateur venaient à être défectueux il serait dévastateur pour le contrôle du reste de la carte. La tension d’alimentation du reste des composants ne pourrait plus être garanti et le système serait alors totalement hors de contrôle.</w:t>
      </w:r>
    </w:p>
    <w:p w:rsidR="005726BA" w:rsidRDefault="005726BA" w:rsidP="005726BA">
      <w:pPr>
        <w:pStyle w:val="Heading1"/>
        <w:rPr>
          <w:rFonts w:eastAsia="Times New Roman"/>
          <w:lang w:eastAsia="fr-CH"/>
        </w:rPr>
      </w:pPr>
      <w:r w:rsidRPr="005726BA">
        <w:rPr>
          <w:rFonts w:eastAsia="Times New Roman"/>
          <w:lang w:eastAsia="fr-CH"/>
        </w:rPr>
        <w:t>Décider des suites: amélioration de conception / limitation d’utilisation / mesures de protection</w:t>
      </w:r>
    </w:p>
    <w:p w:rsidR="00A6634A" w:rsidRDefault="00A6634A" w:rsidP="00A6634A">
      <w:pPr>
        <w:rPr>
          <w:lang w:eastAsia="fr-CH"/>
        </w:rPr>
      </w:pPr>
      <w:r>
        <w:rPr>
          <w:lang w:eastAsia="fr-CH"/>
        </w:rPr>
        <w:t>Une bonne solution serait de faire de la redondance au niveau de l’alimentation de la carte en multipliant les sources de tensions. Il est bien sur important de ne pas surchargé le CanSat avec une autre électronique trop gourmande en énergie sous peine de dissipé un courant trop important à l’intérieur du shunt et que celle-ci viendrait à ne plus conduire.</w:t>
      </w:r>
    </w:p>
    <w:p w:rsidR="00A6634A" w:rsidRPr="00A6634A" w:rsidRDefault="00A6634A" w:rsidP="00A6634A">
      <w:pPr>
        <w:rPr>
          <w:lang w:eastAsia="fr-CH"/>
        </w:rPr>
      </w:pPr>
      <w:r>
        <w:rPr>
          <w:lang w:eastAsia="fr-CH"/>
        </w:rPr>
        <w:t>Comme mesure de protection il serait envisageable de mettre une diode avec une bonne tension en inverse à la sortie du bloc d’alimentation. Une autre alimentation pourrait à son tour prendre la relève et fournir la nouvelle tension d’alimentation de la carte.</w:t>
      </w:r>
    </w:p>
    <w:p w:rsidR="005726BA" w:rsidRPr="00313D77" w:rsidRDefault="005726BA" w:rsidP="00313D77">
      <w:pPr>
        <w:rPr>
          <w:lang w:eastAsia="fr-CH"/>
        </w:rPr>
      </w:pPr>
    </w:p>
    <w:p w:rsidR="00313D77" w:rsidRPr="00CD1452" w:rsidRDefault="00313D77" w:rsidP="00CD1452"/>
    <w:sectPr w:rsidR="00313D77" w:rsidRPr="00CD1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67"/>
    <w:multiLevelType w:val="hybridMultilevel"/>
    <w:tmpl w:val="4204F312"/>
    <w:lvl w:ilvl="0" w:tplc="428ECCD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D57699"/>
    <w:multiLevelType w:val="hybridMultilevel"/>
    <w:tmpl w:val="1CBCD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DE4850"/>
    <w:multiLevelType w:val="multilevel"/>
    <w:tmpl w:val="D76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0B4F"/>
    <w:multiLevelType w:val="hybridMultilevel"/>
    <w:tmpl w:val="18C499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1E6041F"/>
    <w:multiLevelType w:val="hybridMultilevel"/>
    <w:tmpl w:val="9EE8C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7724A39"/>
    <w:multiLevelType w:val="hybridMultilevel"/>
    <w:tmpl w:val="80081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43"/>
    <w:rsid w:val="00072A8D"/>
    <w:rsid w:val="00312C49"/>
    <w:rsid w:val="00313D77"/>
    <w:rsid w:val="0038790D"/>
    <w:rsid w:val="003B3B17"/>
    <w:rsid w:val="003C32D8"/>
    <w:rsid w:val="00402B92"/>
    <w:rsid w:val="0045724B"/>
    <w:rsid w:val="004B5E55"/>
    <w:rsid w:val="004D4D67"/>
    <w:rsid w:val="005726BA"/>
    <w:rsid w:val="00577E17"/>
    <w:rsid w:val="006B4BFD"/>
    <w:rsid w:val="00782A22"/>
    <w:rsid w:val="007E6940"/>
    <w:rsid w:val="007F690F"/>
    <w:rsid w:val="00860716"/>
    <w:rsid w:val="008C29B4"/>
    <w:rsid w:val="00A35C3C"/>
    <w:rsid w:val="00A65D65"/>
    <w:rsid w:val="00A6634A"/>
    <w:rsid w:val="00AA298B"/>
    <w:rsid w:val="00AF66F5"/>
    <w:rsid w:val="00BE30D0"/>
    <w:rsid w:val="00C42310"/>
    <w:rsid w:val="00C545D9"/>
    <w:rsid w:val="00C73737"/>
    <w:rsid w:val="00C83060"/>
    <w:rsid w:val="00CD1452"/>
    <w:rsid w:val="00CE1263"/>
    <w:rsid w:val="00CF3D4B"/>
    <w:rsid w:val="00DB612F"/>
    <w:rsid w:val="00E33BFA"/>
    <w:rsid w:val="00E71F43"/>
    <w:rsid w:val="00EA4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8A10A-3051-4B27-BE79-9430BB43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737"/>
    <w:pPr>
      <w:spacing w:after="0" w:line="240" w:lineRule="auto"/>
    </w:pPr>
  </w:style>
  <w:style w:type="character" w:customStyle="1" w:styleId="Heading1Char">
    <w:name w:val="Heading 1 Char"/>
    <w:basedOn w:val="DefaultParagraphFont"/>
    <w:link w:val="Heading1"/>
    <w:uiPriority w:val="9"/>
    <w:rsid w:val="00C73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73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B4BFD"/>
    <w:pPr>
      <w:spacing w:after="200" w:line="240" w:lineRule="auto"/>
    </w:pPr>
    <w:rPr>
      <w:i/>
      <w:iCs/>
      <w:color w:val="44546A" w:themeColor="text2"/>
      <w:sz w:val="18"/>
      <w:szCs w:val="18"/>
    </w:rPr>
  </w:style>
  <w:style w:type="paragraph" w:styleId="ListParagraph">
    <w:name w:val="List Paragraph"/>
    <w:basedOn w:val="Normal"/>
    <w:uiPriority w:val="34"/>
    <w:qFormat/>
    <w:rsid w:val="00BE30D0"/>
    <w:pPr>
      <w:ind w:left="720"/>
      <w:contextualSpacing/>
    </w:pPr>
  </w:style>
  <w:style w:type="character" w:styleId="Emphasis">
    <w:name w:val="Emphasis"/>
    <w:basedOn w:val="DefaultParagraphFont"/>
    <w:uiPriority w:val="20"/>
    <w:qFormat/>
    <w:rsid w:val="005726BA"/>
    <w:rPr>
      <w:i/>
      <w:iCs/>
    </w:rPr>
  </w:style>
  <w:style w:type="table" w:styleId="TableGrid">
    <w:name w:val="Table Grid"/>
    <w:basedOn w:val="TableNormal"/>
    <w:uiPriority w:val="39"/>
    <w:rsid w:val="00CF3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15912">
      <w:bodyDiv w:val="1"/>
      <w:marLeft w:val="0"/>
      <w:marRight w:val="0"/>
      <w:marTop w:val="0"/>
      <w:marBottom w:val="0"/>
      <w:divBdr>
        <w:top w:val="none" w:sz="0" w:space="0" w:color="auto"/>
        <w:left w:val="none" w:sz="0" w:space="0" w:color="auto"/>
        <w:bottom w:val="none" w:sz="0" w:space="0" w:color="auto"/>
        <w:right w:val="none" w:sz="0" w:space="0" w:color="auto"/>
      </w:divBdr>
      <w:divsChild>
        <w:div w:id="958532374">
          <w:marLeft w:val="0"/>
          <w:marRight w:val="0"/>
          <w:marTop w:val="0"/>
          <w:marBottom w:val="0"/>
          <w:divBdr>
            <w:top w:val="none" w:sz="0" w:space="0" w:color="auto"/>
            <w:left w:val="none" w:sz="0" w:space="0" w:color="auto"/>
            <w:bottom w:val="none" w:sz="0" w:space="0" w:color="auto"/>
            <w:right w:val="none" w:sz="0" w:space="0" w:color="auto"/>
          </w:divBdr>
        </w:div>
        <w:div w:id="1390543105">
          <w:marLeft w:val="0"/>
          <w:marRight w:val="0"/>
          <w:marTop w:val="0"/>
          <w:marBottom w:val="0"/>
          <w:divBdr>
            <w:top w:val="none" w:sz="0" w:space="0" w:color="auto"/>
            <w:left w:val="none" w:sz="0" w:space="0" w:color="auto"/>
            <w:bottom w:val="none" w:sz="0" w:space="0" w:color="auto"/>
            <w:right w:val="none" w:sz="0" w:space="0" w:color="auto"/>
          </w:divBdr>
        </w:div>
      </w:divsChild>
    </w:div>
    <w:div w:id="398409050">
      <w:bodyDiv w:val="1"/>
      <w:marLeft w:val="0"/>
      <w:marRight w:val="0"/>
      <w:marTop w:val="0"/>
      <w:marBottom w:val="0"/>
      <w:divBdr>
        <w:top w:val="none" w:sz="0" w:space="0" w:color="auto"/>
        <w:left w:val="none" w:sz="0" w:space="0" w:color="auto"/>
        <w:bottom w:val="none" w:sz="0" w:space="0" w:color="auto"/>
        <w:right w:val="none" w:sz="0" w:space="0" w:color="auto"/>
      </w:divBdr>
      <w:divsChild>
        <w:div w:id="759256411">
          <w:marLeft w:val="0"/>
          <w:marRight w:val="0"/>
          <w:marTop w:val="0"/>
          <w:marBottom w:val="0"/>
          <w:divBdr>
            <w:top w:val="none" w:sz="0" w:space="0" w:color="auto"/>
            <w:left w:val="none" w:sz="0" w:space="0" w:color="auto"/>
            <w:bottom w:val="none" w:sz="0" w:space="0" w:color="auto"/>
            <w:right w:val="none" w:sz="0" w:space="0" w:color="auto"/>
          </w:divBdr>
        </w:div>
        <w:div w:id="595214495">
          <w:marLeft w:val="0"/>
          <w:marRight w:val="0"/>
          <w:marTop w:val="0"/>
          <w:marBottom w:val="0"/>
          <w:divBdr>
            <w:top w:val="none" w:sz="0" w:space="0" w:color="auto"/>
            <w:left w:val="none" w:sz="0" w:space="0" w:color="auto"/>
            <w:bottom w:val="none" w:sz="0" w:space="0" w:color="auto"/>
            <w:right w:val="none" w:sz="0" w:space="0" w:color="auto"/>
          </w:divBdr>
        </w:div>
        <w:div w:id="691568136">
          <w:marLeft w:val="0"/>
          <w:marRight w:val="0"/>
          <w:marTop w:val="0"/>
          <w:marBottom w:val="0"/>
          <w:divBdr>
            <w:top w:val="none" w:sz="0" w:space="0" w:color="auto"/>
            <w:left w:val="none" w:sz="0" w:space="0" w:color="auto"/>
            <w:bottom w:val="none" w:sz="0" w:space="0" w:color="auto"/>
            <w:right w:val="none" w:sz="0" w:space="0" w:color="auto"/>
          </w:divBdr>
        </w:div>
        <w:div w:id="630670437">
          <w:marLeft w:val="0"/>
          <w:marRight w:val="0"/>
          <w:marTop w:val="0"/>
          <w:marBottom w:val="0"/>
          <w:divBdr>
            <w:top w:val="none" w:sz="0" w:space="0" w:color="auto"/>
            <w:left w:val="none" w:sz="0" w:space="0" w:color="auto"/>
            <w:bottom w:val="none" w:sz="0" w:space="0" w:color="auto"/>
            <w:right w:val="none" w:sz="0" w:space="0" w:color="auto"/>
          </w:divBdr>
        </w:div>
        <w:div w:id="1611469848">
          <w:marLeft w:val="0"/>
          <w:marRight w:val="0"/>
          <w:marTop w:val="0"/>
          <w:marBottom w:val="0"/>
          <w:divBdr>
            <w:top w:val="none" w:sz="0" w:space="0" w:color="auto"/>
            <w:left w:val="none" w:sz="0" w:space="0" w:color="auto"/>
            <w:bottom w:val="none" w:sz="0" w:space="0" w:color="auto"/>
            <w:right w:val="none" w:sz="0" w:space="0" w:color="auto"/>
          </w:divBdr>
        </w:div>
        <w:div w:id="1717581651">
          <w:marLeft w:val="0"/>
          <w:marRight w:val="0"/>
          <w:marTop w:val="0"/>
          <w:marBottom w:val="0"/>
          <w:divBdr>
            <w:top w:val="none" w:sz="0" w:space="0" w:color="auto"/>
            <w:left w:val="none" w:sz="0" w:space="0" w:color="auto"/>
            <w:bottom w:val="none" w:sz="0" w:space="0" w:color="auto"/>
            <w:right w:val="none" w:sz="0" w:space="0" w:color="auto"/>
          </w:divBdr>
        </w:div>
        <w:div w:id="34891553">
          <w:marLeft w:val="0"/>
          <w:marRight w:val="0"/>
          <w:marTop w:val="0"/>
          <w:marBottom w:val="0"/>
          <w:divBdr>
            <w:top w:val="none" w:sz="0" w:space="0" w:color="auto"/>
            <w:left w:val="none" w:sz="0" w:space="0" w:color="auto"/>
            <w:bottom w:val="none" w:sz="0" w:space="0" w:color="auto"/>
            <w:right w:val="none" w:sz="0" w:space="0" w:color="auto"/>
          </w:divBdr>
        </w:div>
        <w:div w:id="215552087">
          <w:marLeft w:val="0"/>
          <w:marRight w:val="0"/>
          <w:marTop w:val="0"/>
          <w:marBottom w:val="0"/>
          <w:divBdr>
            <w:top w:val="none" w:sz="0" w:space="0" w:color="auto"/>
            <w:left w:val="none" w:sz="0" w:space="0" w:color="auto"/>
            <w:bottom w:val="none" w:sz="0" w:space="0" w:color="auto"/>
            <w:right w:val="none" w:sz="0" w:space="0" w:color="auto"/>
          </w:divBdr>
        </w:div>
        <w:div w:id="1493988286">
          <w:marLeft w:val="0"/>
          <w:marRight w:val="0"/>
          <w:marTop w:val="0"/>
          <w:marBottom w:val="0"/>
          <w:divBdr>
            <w:top w:val="none" w:sz="0" w:space="0" w:color="auto"/>
            <w:left w:val="none" w:sz="0" w:space="0" w:color="auto"/>
            <w:bottom w:val="none" w:sz="0" w:space="0" w:color="auto"/>
            <w:right w:val="none" w:sz="0" w:space="0" w:color="auto"/>
          </w:divBdr>
        </w:div>
        <w:div w:id="1661999762">
          <w:marLeft w:val="0"/>
          <w:marRight w:val="0"/>
          <w:marTop w:val="0"/>
          <w:marBottom w:val="0"/>
          <w:divBdr>
            <w:top w:val="none" w:sz="0" w:space="0" w:color="auto"/>
            <w:left w:val="none" w:sz="0" w:space="0" w:color="auto"/>
            <w:bottom w:val="none" w:sz="0" w:space="0" w:color="auto"/>
            <w:right w:val="none" w:sz="0" w:space="0" w:color="auto"/>
          </w:divBdr>
        </w:div>
        <w:div w:id="1776944170">
          <w:marLeft w:val="0"/>
          <w:marRight w:val="0"/>
          <w:marTop w:val="0"/>
          <w:marBottom w:val="0"/>
          <w:divBdr>
            <w:top w:val="none" w:sz="0" w:space="0" w:color="auto"/>
            <w:left w:val="none" w:sz="0" w:space="0" w:color="auto"/>
            <w:bottom w:val="none" w:sz="0" w:space="0" w:color="auto"/>
            <w:right w:val="none" w:sz="0" w:space="0" w:color="auto"/>
          </w:divBdr>
        </w:div>
        <w:div w:id="1532839103">
          <w:marLeft w:val="0"/>
          <w:marRight w:val="0"/>
          <w:marTop w:val="0"/>
          <w:marBottom w:val="0"/>
          <w:divBdr>
            <w:top w:val="none" w:sz="0" w:space="0" w:color="auto"/>
            <w:left w:val="none" w:sz="0" w:space="0" w:color="auto"/>
            <w:bottom w:val="none" w:sz="0" w:space="0" w:color="auto"/>
            <w:right w:val="none" w:sz="0" w:space="0" w:color="auto"/>
          </w:divBdr>
        </w:div>
        <w:div w:id="1877615860">
          <w:marLeft w:val="0"/>
          <w:marRight w:val="0"/>
          <w:marTop w:val="0"/>
          <w:marBottom w:val="0"/>
          <w:divBdr>
            <w:top w:val="none" w:sz="0" w:space="0" w:color="auto"/>
            <w:left w:val="none" w:sz="0" w:space="0" w:color="auto"/>
            <w:bottom w:val="none" w:sz="0" w:space="0" w:color="auto"/>
            <w:right w:val="none" w:sz="0" w:space="0" w:color="auto"/>
          </w:divBdr>
        </w:div>
        <w:div w:id="815488698">
          <w:marLeft w:val="0"/>
          <w:marRight w:val="0"/>
          <w:marTop w:val="0"/>
          <w:marBottom w:val="0"/>
          <w:divBdr>
            <w:top w:val="none" w:sz="0" w:space="0" w:color="auto"/>
            <w:left w:val="none" w:sz="0" w:space="0" w:color="auto"/>
            <w:bottom w:val="none" w:sz="0" w:space="0" w:color="auto"/>
            <w:right w:val="none" w:sz="0" w:space="0" w:color="auto"/>
          </w:divBdr>
        </w:div>
        <w:div w:id="557278045">
          <w:marLeft w:val="0"/>
          <w:marRight w:val="0"/>
          <w:marTop w:val="0"/>
          <w:marBottom w:val="0"/>
          <w:divBdr>
            <w:top w:val="none" w:sz="0" w:space="0" w:color="auto"/>
            <w:left w:val="none" w:sz="0" w:space="0" w:color="auto"/>
            <w:bottom w:val="none" w:sz="0" w:space="0" w:color="auto"/>
            <w:right w:val="none" w:sz="0" w:space="0" w:color="auto"/>
          </w:divBdr>
        </w:div>
        <w:div w:id="134880028">
          <w:marLeft w:val="0"/>
          <w:marRight w:val="0"/>
          <w:marTop w:val="0"/>
          <w:marBottom w:val="0"/>
          <w:divBdr>
            <w:top w:val="none" w:sz="0" w:space="0" w:color="auto"/>
            <w:left w:val="none" w:sz="0" w:space="0" w:color="auto"/>
            <w:bottom w:val="none" w:sz="0" w:space="0" w:color="auto"/>
            <w:right w:val="none" w:sz="0" w:space="0" w:color="auto"/>
          </w:divBdr>
        </w:div>
      </w:divsChild>
    </w:div>
    <w:div w:id="1100099441">
      <w:bodyDiv w:val="1"/>
      <w:marLeft w:val="0"/>
      <w:marRight w:val="0"/>
      <w:marTop w:val="0"/>
      <w:marBottom w:val="0"/>
      <w:divBdr>
        <w:top w:val="none" w:sz="0" w:space="0" w:color="auto"/>
        <w:left w:val="none" w:sz="0" w:space="0" w:color="auto"/>
        <w:bottom w:val="none" w:sz="0" w:space="0" w:color="auto"/>
        <w:right w:val="none" w:sz="0" w:space="0" w:color="auto"/>
      </w:divBdr>
    </w:div>
    <w:div w:id="1197889128">
      <w:bodyDiv w:val="1"/>
      <w:marLeft w:val="0"/>
      <w:marRight w:val="0"/>
      <w:marTop w:val="0"/>
      <w:marBottom w:val="0"/>
      <w:divBdr>
        <w:top w:val="none" w:sz="0" w:space="0" w:color="auto"/>
        <w:left w:val="none" w:sz="0" w:space="0" w:color="auto"/>
        <w:bottom w:val="none" w:sz="0" w:space="0" w:color="auto"/>
        <w:right w:val="none" w:sz="0" w:space="0" w:color="auto"/>
      </w:divBdr>
      <w:divsChild>
        <w:div w:id="1974405959">
          <w:marLeft w:val="0"/>
          <w:marRight w:val="0"/>
          <w:marTop w:val="0"/>
          <w:marBottom w:val="0"/>
          <w:divBdr>
            <w:top w:val="none" w:sz="0" w:space="0" w:color="auto"/>
            <w:left w:val="none" w:sz="0" w:space="0" w:color="auto"/>
            <w:bottom w:val="none" w:sz="0" w:space="0" w:color="auto"/>
            <w:right w:val="none" w:sz="0" w:space="0" w:color="auto"/>
          </w:divBdr>
        </w:div>
        <w:div w:id="583880808">
          <w:marLeft w:val="0"/>
          <w:marRight w:val="0"/>
          <w:marTop w:val="0"/>
          <w:marBottom w:val="0"/>
          <w:divBdr>
            <w:top w:val="none" w:sz="0" w:space="0" w:color="auto"/>
            <w:left w:val="none" w:sz="0" w:space="0" w:color="auto"/>
            <w:bottom w:val="none" w:sz="0" w:space="0" w:color="auto"/>
            <w:right w:val="none" w:sz="0" w:space="0" w:color="auto"/>
          </w:divBdr>
        </w:div>
        <w:div w:id="1479573478">
          <w:marLeft w:val="0"/>
          <w:marRight w:val="0"/>
          <w:marTop w:val="0"/>
          <w:marBottom w:val="0"/>
          <w:divBdr>
            <w:top w:val="none" w:sz="0" w:space="0" w:color="auto"/>
            <w:left w:val="none" w:sz="0" w:space="0" w:color="auto"/>
            <w:bottom w:val="none" w:sz="0" w:space="0" w:color="auto"/>
            <w:right w:val="none" w:sz="0" w:space="0" w:color="auto"/>
          </w:divBdr>
        </w:div>
      </w:divsChild>
    </w:div>
    <w:div w:id="17585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441</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22</cp:revision>
  <dcterms:created xsi:type="dcterms:W3CDTF">2016-06-01T13:54:00Z</dcterms:created>
  <dcterms:modified xsi:type="dcterms:W3CDTF">2016-06-06T19:02:00Z</dcterms:modified>
</cp:coreProperties>
</file>