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737" w:rsidRDefault="001B75D3" w:rsidP="00C73737">
      <w:pPr>
        <w:jc w:val="center"/>
        <w:rPr>
          <w:sz w:val="40"/>
          <w:szCs w:val="40"/>
          <w:lang w:eastAsia="fr-CH"/>
        </w:rPr>
      </w:pPr>
      <w:r>
        <w:rPr>
          <w:sz w:val="40"/>
          <w:szCs w:val="40"/>
          <w:lang w:eastAsia="fr-CH"/>
        </w:rPr>
        <w:t>Tests fonctionnels</w:t>
      </w:r>
    </w:p>
    <w:p w:rsidR="00C73737" w:rsidRDefault="00371647" w:rsidP="00C73737">
      <w:pPr>
        <w:rPr>
          <w:lang w:eastAsia="fr-CH"/>
        </w:rPr>
      </w:pPr>
      <w:r>
        <w:rPr>
          <w:lang w:eastAsia="fr-CH"/>
        </w:rPr>
        <w:t>Ce document fait détail</w:t>
      </w:r>
      <w:r w:rsidR="00C73737">
        <w:rPr>
          <w:lang w:eastAsia="fr-CH"/>
        </w:rPr>
        <w:t xml:space="preserve"> </w:t>
      </w:r>
      <w:r w:rsidR="001B75D3">
        <w:rPr>
          <w:lang w:eastAsia="fr-CH"/>
        </w:rPr>
        <w:t>des tests fonctionnels</w:t>
      </w:r>
    </w:p>
    <w:p w:rsidR="006B4BFD" w:rsidRDefault="006B4BFD" w:rsidP="006B4BFD">
      <w:pPr>
        <w:pStyle w:val="Heading1"/>
        <w:rPr>
          <w:lang w:eastAsia="fr-CH"/>
        </w:rPr>
      </w:pPr>
      <w:r>
        <w:rPr>
          <w:lang w:eastAsia="fr-CH"/>
        </w:rPr>
        <w:t>Introductions</w:t>
      </w:r>
    </w:p>
    <w:p w:rsidR="00256A6B" w:rsidRDefault="005161BB" w:rsidP="00371647">
      <w:pPr>
        <w:rPr>
          <w:lang w:eastAsia="fr-CH"/>
        </w:rPr>
      </w:pPr>
      <w:r>
        <w:rPr>
          <w:lang w:eastAsia="fr-CH"/>
        </w:rPr>
        <w:t>Les tests de fonctionnement ont pour but de vérifier la fonction et les performances électriques sous des conditions environnementales représentatives</w:t>
      </w:r>
      <w:r w:rsidR="00256A6B">
        <w:rPr>
          <w:lang w:eastAsia="fr-CH"/>
        </w:rPr>
        <w:t>.</w:t>
      </w:r>
    </w:p>
    <w:p w:rsidR="00256A6B" w:rsidRDefault="00256A6B" w:rsidP="00371647">
      <w:pPr>
        <w:rPr>
          <w:lang w:eastAsia="fr-CH"/>
        </w:rPr>
      </w:pPr>
      <w:r>
        <w:rPr>
          <w:lang w:eastAsia="fr-CH"/>
        </w:rPr>
        <w:t xml:space="preserve">Les tests fonctionnels ont été mis en place en respectant les normes </w:t>
      </w:r>
      <w:r w:rsidRPr="00256A6B">
        <w:rPr>
          <w:lang w:eastAsia="fr-CH"/>
        </w:rPr>
        <w:t>MIL-STD-</w:t>
      </w:r>
      <w:r>
        <w:rPr>
          <w:lang w:eastAsia="fr-CH"/>
        </w:rPr>
        <w:t>8</w:t>
      </w:r>
      <w:r w:rsidRPr="00256A6B">
        <w:rPr>
          <w:lang w:eastAsia="fr-CH"/>
        </w:rPr>
        <w:t>10</w:t>
      </w:r>
      <w:r>
        <w:rPr>
          <w:lang w:eastAsia="fr-CH"/>
        </w:rPr>
        <w:t xml:space="preserve"> et MIL-STD-202</w:t>
      </w:r>
    </w:p>
    <w:p w:rsidR="00313D77" w:rsidRDefault="00371647" w:rsidP="00371647">
      <w:pPr>
        <w:pStyle w:val="Heading1"/>
      </w:pPr>
      <w:r>
        <w:t>Environnement de test</w:t>
      </w:r>
    </w:p>
    <w:p w:rsidR="00A202C8" w:rsidRDefault="00A202C8" w:rsidP="00A202C8">
      <w:r>
        <w:t>Les tests sont mis en place avec un testeur qui injecte des consignes dans le système pour vérifier le bon fonctionnement de celui-ci. Comme le montre la figure suivante, les tests sont divisés en 3 parties :</w:t>
      </w:r>
    </w:p>
    <w:p w:rsidR="00A202C8" w:rsidRDefault="00A202C8" w:rsidP="009E1ADF">
      <w:pPr>
        <w:pStyle w:val="ListParagraph"/>
        <w:numPr>
          <w:ilvl w:val="0"/>
          <w:numId w:val="5"/>
        </w:numPr>
      </w:pPr>
      <w:r>
        <w:t>Le testeur</w:t>
      </w:r>
      <w:r w:rsidR="000656E4">
        <w:t>, un programme pour lancer les tests, ou un opérateur.</w:t>
      </w:r>
    </w:p>
    <w:p w:rsidR="00A202C8" w:rsidRDefault="009E1ADF" w:rsidP="009E1ADF">
      <w:pPr>
        <w:pStyle w:val="ListParagraph"/>
        <w:numPr>
          <w:ilvl w:val="0"/>
          <w:numId w:val="5"/>
        </w:numPr>
      </w:pPr>
      <w:r>
        <w:t>Une</w:t>
      </w:r>
      <w:r w:rsidR="00A202C8">
        <w:t xml:space="preserve"> tension d’alimentation réglable</w:t>
      </w:r>
    </w:p>
    <w:p w:rsidR="009E1ADF" w:rsidRDefault="00A202C8" w:rsidP="009E1ADF">
      <w:pPr>
        <w:pStyle w:val="ListParagraph"/>
        <w:numPr>
          <w:ilvl w:val="0"/>
          <w:numId w:val="5"/>
        </w:numPr>
      </w:pPr>
      <w:r>
        <w:t xml:space="preserve">Un </w:t>
      </w:r>
      <w:r w:rsidR="00ED09BD">
        <w:t>bloc logique pour la communication digital (SPI), pour la configuration et la récupération des données échantillonnées</w:t>
      </w:r>
      <w:r w:rsidR="009E1ADF">
        <w:t>.</w:t>
      </w:r>
    </w:p>
    <w:p w:rsidR="009E1ADF" w:rsidRDefault="009E1ADF" w:rsidP="009E1ADF">
      <w:pPr>
        <w:ind w:left="360"/>
        <w:jc w:val="center"/>
      </w:pPr>
      <w:r>
        <w:rPr>
          <w:noProof/>
          <w:lang w:eastAsia="fr-CH"/>
        </w:rPr>
        <w:drawing>
          <wp:inline distT="0" distB="0" distL="0" distR="0">
            <wp:extent cx="2905125" cy="1933575"/>
            <wp:effectExtent l="0" t="0" r="9525" b="9525"/>
            <wp:docPr id="1" name="Picture 1" descr="C:\Users\Yann Maret\AppData\Local\Microsoft\Windows\INetCache\Content.Wor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nn Maret\AppData\Local\Microsoft\Windows\INetCache\Content.Word\test.jpg"/>
                    <pic:cNvPicPr>
                      <a:picLocks noChangeAspect="1" noChangeArrowheads="1"/>
                    </pic:cNvPicPr>
                  </pic:nvPicPr>
                  <pic:blipFill rotWithShape="1">
                    <a:blip r:embed="rId5">
                      <a:extLst>
                        <a:ext uri="{28A0092B-C50C-407E-A947-70E740481C1C}">
                          <a14:useLocalDpi xmlns:a14="http://schemas.microsoft.com/office/drawing/2010/main" val="0"/>
                        </a:ext>
                      </a:extLst>
                    </a:blip>
                    <a:srcRect r="7576" b="11739"/>
                    <a:stretch/>
                  </pic:blipFill>
                  <pic:spPr bwMode="auto">
                    <a:xfrm>
                      <a:off x="0" y="0"/>
                      <a:ext cx="2905125" cy="1933575"/>
                    </a:xfrm>
                    <a:prstGeom prst="rect">
                      <a:avLst/>
                    </a:prstGeom>
                    <a:noFill/>
                    <a:ln>
                      <a:noFill/>
                    </a:ln>
                    <a:extLst>
                      <a:ext uri="{53640926-AAD7-44D8-BBD7-CCE9431645EC}">
                        <a14:shadowObscured xmlns:a14="http://schemas.microsoft.com/office/drawing/2010/main"/>
                      </a:ext>
                    </a:extLst>
                  </pic:spPr>
                </pic:pic>
              </a:graphicData>
            </a:graphic>
          </wp:inline>
        </w:drawing>
      </w:r>
    </w:p>
    <w:p w:rsidR="009E1ADF" w:rsidRDefault="009E1ADF" w:rsidP="009E1ADF">
      <w:r>
        <w:t>Le testeur permet de mette en place les tests et de les validées, il donne des consignes de tension par le biais de la batterie pour tester le signal avec des niveaux de tension différent. Ceci permettra de vérifier le bon fonctionnement du bloc de redondance.</w:t>
      </w:r>
    </w:p>
    <w:p w:rsidR="009E1ADF" w:rsidRDefault="009E1ADF" w:rsidP="009E1ADF">
      <w:r>
        <w:t>Le testeur spécifie le comportement de la logique pour la configuration de la carte de mesure et les niveaux de consommation pour des tests de puissance de la carte.</w:t>
      </w:r>
    </w:p>
    <w:p w:rsidR="00155435" w:rsidRDefault="00155435" w:rsidP="000656E4">
      <w:r>
        <w:t>Dans ce cas de figure seul la mesure de courant/tension et la conversion analogique digitale sont contrôlées.</w:t>
      </w:r>
    </w:p>
    <w:p w:rsidR="00155435" w:rsidRDefault="00155435" w:rsidP="009E1ADF">
      <w:r>
        <w:t>Pour le FTDI et la communication avec la FPGA (SPI et programmation), un deuxième teste sera effectuée.</w:t>
      </w:r>
    </w:p>
    <w:p w:rsidR="000656E4" w:rsidRDefault="000656E4" w:rsidP="000656E4">
      <w:pPr>
        <w:jc w:val="center"/>
      </w:pPr>
      <w:r>
        <w:rPr>
          <w:noProof/>
          <w:lang w:eastAsia="fr-CH"/>
        </w:rPr>
        <w:lastRenderedPageBreak/>
        <w:drawing>
          <wp:inline distT="0" distB="0" distL="0" distR="0">
            <wp:extent cx="3038475" cy="1457325"/>
            <wp:effectExtent l="0" t="0" r="9525" b="9525"/>
            <wp:docPr id="2" name="Picture 2" descr="C:\Users\Yann Maret\AppData\Local\Microsoft\Windows\INetCache\Content.Word\fpga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ann Maret\AppData\Local\Microsoft\Windows\INetCache\Content.Word\fpga_test.jpg"/>
                    <pic:cNvPicPr>
                      <a:picLocks noChangeAspect="1" noChangeArrowheads="1"/>
                    </pic:cNvPicPr>
                  </pic:nvPicPr>
                  <pic:blipFill>
                    <a:blip r:embed="rId6">
                      <a:extLst>
                        <a:ext uri="{28A0092B-C50C-407E-A947-70E740481C1C}">
                          <a14:useLocalDpi xmlns:a14="http://schemas.microsoft.com/office/drawing/2010/main" val="0"/>
                        </a:ext>
                      </a:extLst>
                    </a:blip>
                    <a:srcRect r="7803" b="15935"/>
                    <a:stretch>
                      <a:fillRect/>
                    </a:stretch>
                  </pic:blipFill>
                  <pic:spPr bwMode="auto">
                    <a:xfrm>
                      <a:off x="0" y="0"/>
                      <a:ext cx="3038475" cy="1457325"/>
                    </a:xfrm>
                    <a:prstGeom prst="rect">
                      <a:avLst/>
                    </a:prstGeom>
                    <a:noFill/>
                    <a:ln>
                      <a:noFill/>
                    </a:ln>
                  </pic:spPr>
                </pic:pic>
              </a:graphicData>
            </a:graphic>
          </wp:inline>
        </w:drawing>
      </w:r>
    </w:p>
    <w:p w:rsidR="000656E4" w:rsidRDefault="000656E4" w:rsidP="000656E4">
      <w:r>
        <w:t xml:space="preserve">Avec ce test, la communication avec la FPGA (SPI, FTDI et alimentation), pour être vérifié. L’alimentation sera </w:t>
      </w:r>
      <w:r w:rsidR="005161BB">
        <w:t>fournie</w:t>
      </w:r>
      <w:r>
        <w:t xml:space="preserve"> avec le test via une batterie.</w:t>
      </w:r>
    </w:p>
    <w:p w:rsidR="00256A6B" w:rsidRDefault="00256A6B" w:rsidP="000656E4">
      <w:r>
        <w:t>Ces tests peuvent être faits avec différents perturbations environnementales :</w:t>
      </w:r>
    </w:p>
    <w:p w:rsidR="00256A6B" w:rsidRDefault="00256A6B" w:rsidP="00256A6B">
      <w:pPr>
        <w:pStyle w:val="ListParagraph"/>
        <w:numPr>
          <w:ilvl w:val="0"/>
          <w:numId w:val="6"/>
        </w:numPr>
      </w:pPr>
      <w:r>
        <w:t>EMC</w:t>
      </w:r>
    </w:p>
    <w:p w:rsidR="00256A6B" w:rsidRDefault="00256A6B" w:rsidP="00256A6B">
      <w:pPr>
        <w:pStyle w:val="ListParagraph"/>
        <w:numPr>
          <w:ilvl w:val="0"/>
          <w:numId w:val="6"/>
        </w:numPr>
      </w:pPr>
      <w:r>
        <w:t>vibration</w:t>
      </w:r>
    </w:p>
    <w:p w:rsidR="00256A6B" w:rsidRDefault="00256A6B" w:rsidP="00256A6B">
      <w:pPr>
        <w:pStyle w:val="ListParagraph"/>
        <w:numPr>
          <w:ilvl w:val="0"/>
          <w:numId w:val="6"/>
        </w:numPr>
      </w:pPr>
      <w:r>
        <w:t>thermiques</w:t>
      </w:r>
    </w:p>
    <w:p w:rsidR="00371647" w:rsidRDefault="00371647" w:rsidP="00371647">
      <w:pPr>
        <w:pStyle w:val="Heading1"/>
      </w:pPr>
      <w:r>
        <w:t>Plan de test</w:t>
      </w:r>
    </w:p>
    <w:p w:rsidR="00011D2D" w:rsidRDefault="00011D2D" w:rsidP="00011D2D">
      <w:r>
        <w:t xml:space="preserve">Le plan de test a été le suivant pour </w:t>
      </w:r>
      <w:r w:rsidR="00AF13CA">
        <w:t>les tests</w:t>
      </w:r>
      <w:r>
        <w:t xml:space="preserve"> du </w:t>
      </w:r>
      <w:proofErr w:type="spellStart"/>
      <w:r>
        <w:t>CanSat</w:t>
      </w:r>
      <w:proofErr w:type="spellEnd"/>
      <w:r>
        <w:t> :</w:t>
      </w:r>
    </w:p>
    <w:p w:rsidR="004A73C2" w:rsidRDefault="004A73C2" w:rsidP="00011D2D">
      <w:r>
        <w:t>Tous les types d’environnement doivent être testés selon les normes.</w:t>
      </w:r>
    </w:p>
    <w:p w:rsidR="004A73C2" w:rsidRDefault="004A73C2" w:rsidP="004A73C2">
      <w:pPr>
        <w:pStyle w:val="ListParagraph"/>
        <w:numPr>
          <w:ilvl w:val="0"/>
          <w:numId w:val="7"/>
        </w:numPr>
      </w:pPr>
      <w:r>
        <w:t>Pour l’EMC avec des niveaux de tensions différentes sur les surfaces métalliques que fer. Avec contacte et sans,…</w:t>
      </w:r>
    </w:p>
    <w:p w:rsidR="004A73C2" w:rsidRDefault="004A73C2" w:rsidP="004A73C2">
      <w:pPr>
        <w:pStyle w:val="ListParagraph"/>
        <w:numPr>
          <w:ilvl w:val="0"/>
          <w:numId w:val="7"/>
        </w:numPr>
      </w:pPr>
      <w:r>
        <w:t>Pour les tests de vibration, sur plaque vibrante avec différente vitesse de tour minutes,</w:t>
      </w:r>
    </w:p>
    <w:p w:rsidR="004A73C2" w:rsidRPr="00011D2D" w:rsidRDefault="004A73C2" w:rsidP="004A73C2">
      <w:pPr>
        <w:pStyle w:val="ListParagraph"/>
        <w:numPr>
          <w:ilvl w:val="0"/>
          <w:numId w:val="7"/>
        </w:numPr>
      </w:pPr>
      <w:r>
        <w:t>Et pour les tests en température, dans un four pour atteindre les 100°C et faire chuter la température rapidement pour atteindre les -40°C.</w:t>
      </w:r>
    </w:p>
    <w:tbl>
      <w:tblPr>
        <w:tblStyle w:val="TableGrid"/>
        <w:tblW w:w="0" w:type="auto"/>
        <w:tblInd w:w="-5" w:type="dxa"/>
        <w:tblLayout w:type="fixed"/>
        <w:tblLook w:val="04A0" w:firstRow="1" w:lastRow="0" w:firstColumn="1" w:lastColumn="0" w:noHBand="0" w:noVBand="1"/>
      </w:tblPr>
      <w:tblGrid>
        <w:gridCol w:w="993"/>
        <w:gridCol w:w="992"/>
        <w:gridCol w:w="1701"/>
        <w:gridCol w:w="2933"/>
        <w:gridCol w:w="1036"/>
        <w:gridCol w:w="1412"/>
      </w:tblGrid>
      <w:tr w:rsidR="004A73C2" w:rsidTr="003E6CAC">
        <w:tc>
          <w:tcPr>
            <w:tcW w:w="993" w:type="dxa"/>
          </w:tcPr>
          <w:p w:rsidR="00256A6B" w:rsidRDefault="00256A6B" w:rsidP="00256A6B">
            <w:r>
              <w:t>Environnement</w:t>
            </w:r>
          </w:p>
        </w:tc>
        <w:tc>
          <w:tcPr>
            <w:tcW w:w="992" w:type="dxa"/>
          </w:tcPr>
          <w:p w:rsidR="00256A6B" w:rsidRDefault="00011D2D" w:rsidP="00256A6B">
            <w:r>
              <w:t>Equipement</w:t>
            </w:r>
          </w:p>
        </w:tc>
        <w:tc>
          <w:tcPr>
            <w:tcW w:w="1701" w:type="dxa"/>
          </w:tcPr>
          <w:p w:rsidR="00256A6B" w:rsidRDefault="00011D2D" w:rsidP="00256A6B">
            <w:r>
              <w:t>Spécification</w:t>
            </w:r>
          </w:p>
        </w:tc>
        <w:tc>
          <w:tcPr>
            <w:tcW w:w="2933" w:type="dxa"/>
          </w:tcPr>
          <w:p w:rsidR="00256A6B" w:rsidRDefault="00011D2D" w:rsidP="00256A6B">
            <w:r>
              <w:t>Montage</w:t>
            </w:r>
          </w:p>
        </w:tc>
        <w:tc>
          <w:tcPr>
            <w:tcW w:w="1036" w:type="dxa"/>
          </w:tcPr>
          <w:p w:rsidR="00256A6B" w:rsidRDefault="00011D2D" w:rsidP="00256A6B">
            <w:r>
              <w:t>Résultats</w:t>
            </w:r>
          </w:p>
        </w:tc>
        <w:tc>
          <w:tcPr>
            <w:tcW w:w="1412" w:type="dxa"/>
          </w:tcPr>
          <w:p w:rsidR="00256A6B" w:rsidRDefault="00011D2D" w:rsidP="00256A6B">
            <w:r>
              <w:t>Critère d’</w:t>
            </w:r>
            <w:proofErr w:type="spellStart"/>
            <w:r>
              <w:t>acceptance</w:t>
            </w:r>
            <w:proofErr w:type="spellEnd"/>
          </w:p>
        </w:tc>
      </w:tr>
      <w:tr w:rsidR="00BC5F10" w:rsidTr="003E6CAC">
        <w:tc>
          <w:tcPr>
            <w:tcW w:w="993" w:type="dxa"/>
          </w:tcPr>
          <w:p w:rsidR="00BC5F10" w:rsidRDefault="00404C23" w:rsidP="00256A6B">
            <w:r>
              <w:t>1</w:t>
            </w:r>
            <w:proofErr w:type="gramStart"/>
            <w:r>
              <w:t>,2,3</w:t>
            </w:r>
            <w:proofErr w:type="gramEnd"/>
          </w:p>
        </w:tc>
        <w:tc>
          <w:tcPr>
            <w:tcW w:w="992" w:type="dxa"/>
          </w:tcPr>
          <w:p w:rsidR="00BC5F10" w:rsidRDefault="00BC5F10" w:rsidP="00256A6B">
            <w:r>
              <w:t>USB</w:t>
            </w:r>
          </w:p>
        </w:tc>
        <w:tc>
          <w:tcPr>
            <w:tcW w:w="1701" w:type="dxa"/>
          </w:tcPr>
          <w:p w:rsidR="00BC5F10" w:rsidRDefault="00BC5F10" w:rsidP="00256A6B"/>
        </w:tc>
        <w:tc>
          <w:tcPr>
            <w:tcW w:w="2933" w:type="dxa"/>
          </w:tcPr>
          <w:p w:rsidR="00BC5F10" w:rsidRDefault="00BC5F10" w:rsidP="00256A6B">
            <w:r>
              <w:t xml:space="preserve">Alimentation </w:t>
            </w:r>
            <w:r w:rsidR="00404C23">
              <w:t>par l’</w:t>
            </w:r>
            <w:r>
              <w:t>USB</w:t>
            </w:r>
          </w:p>
        </w:tc>
        <w:tc>
          <w:tcPr>
            <w:tcW w:w="1036" w:type="dxa"/>
          </w:tcPr>
          <w:p w:rsidR="00BC5F10" w:rsidRDefault="00BC5F10" w:rsidP="00256A6B"/>
        </w:tc>
        <w:tc>
          <w:tcPr>
            <w:tcW w:w="1412" w:type="dxa"/>
          </w:tcPr>
          <w:p w:rsidR="00BC5F10" w:rsidRDefault="00BC5F10" w:rsidP="00256A6B"/>
        </w:tc>
      </w:tr>
      <w:tr w:rsidR="00BC5F10" w:rsidTr="003E6CAC">
        <w:tc>
          <w:tcPr>
            <w:tcW w:w="993" w:type="dxa"/>
          </w:tcPr>
          <w:p w:rsidR="00BC5F10" w:rsidRDefault="00BC5F10" w:rsidP="00BC5F10">
            <w:r>
              <w:t>1</w:t>
            </w:r>
            <w:proofErr w:type="gramStart"/>
            <w:r>
              <w:t>,2,3</w:t>
            </w:r>
            <w:proofErr w:type="gramEnd"/>
          </w:p>
        </w:tc>
        <w:tc>
          <w:tcPr>
            <w:tcW w:w="992" w:type="dxa"/>
          </w:tcPr>
          <w:p w:rsidR="00BC5F10" w:rsidRDefault="00BC5F10" w:rsidP="00BC5F10">
            <w:r>
              <w:t>Batterie</w:t>
            </w:r>
          </w:p>
        </w:tc>
        <w:tc>
          <w:tcPr>
            <w:tcW w:w="1701" w:type="dxa"/>
          </w:tcPr>
          <w:p w:rsidR="00BC5F10" w:rsidRDefault="00BC5F10" w:rsidP="00BC5F10">
            <w:r>
              <w:t>Tension d’alimentation stable (5V, 3.3V)</w:t>
            </w:r>
          </w:p>
        </w:tc>
        <w:tc>
          <w:tcPr>
            <w:tcW w:w="2933" w:type="dxa"/>
          </w:tcPr>
          <w:p w:rsidR="00BC5F10" w:rsidRDefault="00BC5F10" w:rsidP="00BC5F10">
            <w:r>
              <w:t>Alimentation de la carte avec la batterie,</w:t>
            </w:r>
            <w:r>
              <w:t xml:space="preserve"> et mesure au niveau des points de test</w:t>
            </w:r>
          </w:p>
        </w:tc>
        <w:tc>
          <w:tcPr>
            <w:tcW w:w="1036" w:type="dxa"/>
          </w:tcPr>
          <w:p w:rsidR="00BC5F10" w:rsidRDefault="00BC5F10" w:rsidP="00BC5F10"/>
        </w:tc>
        <w:tc>
          <w:tcPr>
            <w:tcW w:w="1412" w:type="dxa"/>
          </w:tcPr>
          <w:p w:rsidR="00BC5F10" w:rsidRDefault="00BC5F10" w:rsidP="00BC5F10"/>
        </w:tc>
      </w:tr>
      <w:tr w:rsidR="00BC5F10" w:rsidTr="003E6CAC">
        <w:tc>
          <w:tcPr>
            <w:tcW w:w="993" w:type="dxa"/>
          </w:tcPr>
          <w:p w:rsidR="00BC5F10" w:rsidRDefault="00BC5F10" w:rsidP="00BC5F10"/>
        </w:tc>
        <w:tc>
          <w:tcPr>
            <w:tcW w:w="992" w:type="dxa"/>
          </w:tcPr>
          <w:p w:rsidR="00BC5F10" w:rsidRDefault="00BC5F10" w:rsidP="00BC5F10">
            <w:r>
              <w:t xml:space="preserve">Batterie, </w:t>
            </w:r>
            <w:proofErr w:type="spellStart"/>
            <w:r>
              <w:t>CanSat</w:t>
            </w:r>
            <w:proofErr w:type="spellEnd"/>
            <w:r>
              <w:t xml:space="preserve"> complet</w:t>
            </w:r>
          </w:p>
        </w:tc>
        <w:tc>
          <w:tcPr>
            <w:tcW w:w="1701" w:type="dxa"/>
          </w:tcPr>
          <w:p w:rsidR="00BC5F10" w:rsidRDefault="00BC5F10" w:rsidP="00BC5F10">
            <w:r>
              <w:t>Alimentation des autres cartes</w:t>
            </w:r>
          </w:p>
        </w:tc>
        <w:tc>
          <w:tcPr>
            <w:tcW w:w="2933" w:type="dxa"/>
          </w:tcPr>
          <w:p w:rsidR="00BC5F10" w:rsidRDefault="00BC5F10" w:rsidP="00BC5F10">
            <w:r>
              <w:t>Contrôle de la tension d’alimentation sur les autres cartes.</w:t>
            </w:r>
          </w:p>
        </w:tc>
        <w:tc>
          <w:tcPr>
            <w:tcW w:w="1036" w:type="dxa"/>
          </w:tcPr>
          <w:p w:rsidR="00BC5F10" w:rsidRDefault="00BC5F10" w:rsidP="00BC5F10"/>
        </w:tc>
        <w:tc>
          <w:tcPr>
            <w:tcW w:w="1412" w:type="dxa"/>
          </w:tcPr>
          <w:p w:rsidR="00BC5F10" w:rsidRDefault="00BC5F10" w:rsidP="00BC5F10"/>
        </w:tc>
      </w:tr>
      <w:tr w:rsidR="00BC5F10" w:rsidTr="003E6CAC">
        <w:tc>
          <w:tcPr>
            <w:tcW w:w="993" w:type="dxa"/>
          </w:tcPr>
          <w:p w:rsidR="00BC5F10" w:rsidRDefault="00BC5F10" w:rsidP="00BC5F10"/>
        </w:tc>
        <w:tc>
          <w:tcPr>
            <w:tcW w:w="992" w:type="dxa"/>
          </w:tcPr>
          <w:p w:rsidR="00BC5F10" w:rsidRDefault="00BC5F10" w:rsidP="00BC5F10">
            <w:r>
              <w:t xml:space="preserve">Batterie,    </w:t>
            </w:r>
            <w:r>
              <w:t xml:space="preserve">FPGA </w:t>
            </w:r>
            <w:proofErr w:type="spellStart"/>
            <w:r>
              <w:t>board</w:t>
            </w:r>
            <w:proofErr w:type="spellEnd"/>
          </w:p>
        </w:tc>
        <w:tc>
          <w:tcPr>
            <w:tcW w:w="1701" w:type="dxa"/>
          </w:tcPr>
          <w:p w:rsidR="00BC5F10" w:rsidRDefault="00BC5F10" w:rsidP="00BC5F10">
            <w:r>
              <w:t>Communication FPGA, FTDI</w:t>
            </w:r>
          </w:p>
        </w:tc>
        <w:tc>
          <w:tcPr>
            <w:tcW w:w="2933" w:type="dxa"/>
          </w:tcPr>
          <w:p w:rsidR="00BC5F10" w:rsidRDefault="00BC5F10" w:rsidP="00BC5F10">
            <w:r>
              <w:t xml:space="preserve">Branchement du l’USB et vérification de la communication </w:t>
            </w:r>
          </w:p>
        </w:tc>
        <w:tc>
          <w:tcPr>
            <w:tcW w:w="1036" w:type="dxa"/>
          </w:tcPr>
          <w:p w:rsidR="00BC5F10" w:rsidRDefault="00BC5F10" w:rsidP="00BC5F10"/>
        </w:tc>
        <w:tc>
          <w:tcPr>
            <w:tcW w:w="1412" w:type="dxa"/>
          </w:tcPr>
          <w:p w:rsidR="00BC5F10" w:rsidRDefault="00BC5F10" w:rsidP="00BC5F10"/>
        </w:tc>
      </w:tr>
      <w:tr w:rsidR="00BC5F10" w:rsidTr="003E6CAC">
        <w:tc>
          <w:tcPr>
            <w:tcW w:w="993" w:type="dxa"/>
          </w:tcPr>
          <w:p w:rsidR="00BC5F10" w:rsidRDefault="00BC5F10" w:rsidP="00BC5F10"/>
        </w:tc>
        <w:tc>
          <w:tcPr>
            <w:tcW w:w="992" w:type="dxa"/>
          </w:tcPr>
          <w:p w:rsidR="00BC5F10" w:rsidRDefault="00BC5F10" w:rsidP="00BC5F10"/>
        </w:tc>
        <w:tc>
          <w:tcPr>
            <w:tcW w:w="1701" w:type="dxa"/>
          </w:tcPr>
          <w:p w:rsidR="00BC5F10" w:rsidRDefault="00BC5F10" w:rsidP="00BC5F10">
            <w:r>
              <w:t>Mesure shunt</w:t>
            </w:r>
          </w:p>
        </w:tc>
        <w:tc>
          <w:tcPr>
            <w:tcW w:w="2933" w:type="dxa"/>
          </w:tcPr>
          <w:p w:rsidR="00BC5F10" w:rsidRDefault="00BC5F10" w:rsidP="00BC5F10">
            <w:r>
              <w:t>Alimentation de la carte avec la batterie,</w:t>
            </w:r>
          </w:p>
          <w:p w:rsidR="00BC5F10" w:rsidRDefault="00BC5F10" w:rsidP="00BC5F10">
            <w:r>
              <w:t>Mesure de la tension et du courant après l’amplificateur</w:t>
            </w:r>
          </w:p>
        </w:tc>
        <w:tc>
          <w:tcPr>
            <w:tcW w:w="1036" w:type="dxa"/>
          </w:tcPr>
          <w:p w:rsidR="00BC5F10" w:rsidRDefault="00BC5F10" w:rsidP="00BC5F10"/>
        </w:tc>
        <w:tc>
          <w:tcPr>
            <w:tcW w:w="1412" w:type="dxa"/>
          </w:tcPr>
          <w:p w:rsidR="00BC5F10" w:rsidRDefault="00BC5F10" w:rsidP="00BC5F10"/>
        </w:tc>
      </w:tr>
      <w:tr w:rsidR="003E6CAC" w:rsidTr="003E6CAC">
        <w:tc>
          <w:tcPr>
            <w:tcW w:w="993" w:type="dxa"/>
          </w:tcPr>
          <w:p w:rsidR="00BC5F10" w:rsidRDefault="00BC5F10" w:rsidP="00BC5F10"/>
        </w:tc>
        <w:tc>
          <w:tcPr>
            <w:tcW w:w="992" w:type="dxa"/>
          </w:tcPr>
          <w:p w:rsidR="00BC5F10" w:rsidRDefault="00BC5F10" w:rsidP="00BC5F10"/>
        </w:tc>
        <w:tc>
          <w:tcPr>
            <w:tcW w:w="1701" w:type="dxa"/>
          </w:tcPr>
          <w:p w:rsidR="00BC5F10" w:rsidRDefault="00BC5F10" w:rsidP="00BC5F10">
            <w:r>
              <w:t>Conversion courant-tension</w:t>
            </w:r>
          </w:p>
        </w:tc>
        <w:tc>
          <w:tcPr>
            <w:tcW w:w="2933" w:type="dxa"/>
          </w:tcPr>
          <w:p w:rsidR="00BC5F10" w:rsidRDefault="00326C97" w:rsidP="00BC5F10">
            <w:r>
              <w:t>Mesure du bon fonctionnement de l’ampli op</w:t>
            </w:r>
          </w:p>
        </w:tc>
        <w:tc>
          <w:tcPr>
            <w:tcW w:w="1036" w:type="dxa"/>
          </w:tcPr>
          <w:p w:rsidR="00BC5F10" w:rsidRDefault="00BC5F10" w:rsidP="00BC5F10"/>
        </w:tc>
        <w:tc>
          <w:tcPr>
            <w:tcW w:w="1412" w:type="dxa"/>
          </w:tcPr>
          <w:p w:rsidR="00BC5F10" w:rsidRDefault="00BC5F10" w:rsidP="00BC5F10"/>
        </w:tc>
      </w:tr>
      <w:tr w:rsidR="003E6CAC" w:rsidTr="003E6CAC">
        <w:tc>
          <w:tcPr>
            <w:tcW w:w="993" w:type="dxa"/>
          </w:tcPr>
          <w:p w:rsidR="00BC5F10" w:rsidRDefault="00BC5F10" w:rsidP="00BC5F10"/>
        </w:tc>
        <w:tc>
          <w:tcPr>
            <w:tcW w:w="992" w:type="dxa"/>
          </w:tcPr>
          <w:p w:rsidR="00BC5F10" w:rsidRDefault="00BC5F10" w:rsidP="00BC5F10"/>
        </w:tc>
        <w:tc>
          <w:tcPr>
            <w:tcW w:w="1701" w:type="dxa"/>
          </w:tcPr>
          <w:p w:rsidR="00BC5F10" w:rsidRDefault="00BC5F10" w:rsidP="00BC5F10">
            <w:r>
              <w:t>Communication FPGA (SPI)</w:t>
            </w:r>
          </w:p>
        </w:tc>
        <w:tc>
          <w:tcPr>
            <w:tcW w:w="2933" w:type="dxa"/>
          </w:tcPr>
          <w:p w:rsidR="00BC5F10" w:rsidRDefault="00326C97" w:rsidP="00BC5F10">
            <w:r>
              <w:t>Vérification des lignes séries entre la FPGA et l’ADC</w:t>
            </w:r>
          </w:p>
        </w:tc>
        <w:tc>
          <w:tcPr>
            <w:tcW w:w="1036" w:type="dxa"/>
          </w:tcPr>
          <w:p w:rsidR="00BC5F10" w:rsidRDefault="00BC5F10" w:rsidP="00BC5F10"/>
        </w:tc>
        <w:tc>
          <w:tcPr>
            <w:tcW w:w="1412" w:type="dxa"/>
          </w:tcPr>
          <w:p w:rsidR="00BC5F10" w:rsidRDefault="00BC5F10" w:rsidP="00BC5F10"/>
        </w:tc>
      </w:tr>
      <w:tr w:rsidR="003E6CAC" w:rsidTr="003E6CAC">
        <w:tc>
          <w:tcPr>
            <w:tcW w:w="993" w:type="dxa"/>
          </w:tcPr>
          <w:p w:rsidR="00BC5F10" w:rsidRDefault="00BC5F10" w:rsidP="00BC5F10"/>
        </w:tc>
        <w:tc>
          <w:tcPr>
            <w:tcW w:w="992" w:type="dxa"/>
          </w:tcPr>
          <w:p w:rsidR="00BC5F10" w:rsidRDefault="00BC5F10" w:rsidP="00BC5F10"/>
        </w:tc>
        <w:tc>
          <w:tcPr>
            <w:tcW w:w="1701" w:type="dxa"/>
          </w:tcPr>
          <w:p w:rsidR="00BC5F10" w:rsidRDefault="00BC5F10" w:rsidP="00BC5F10">
            <w:r>
              <w:t>Configuration de l’ADC</w:t>
            </w:r>
          </w:p>
        </w:tc>
        <w:tc>
          <w:tcPr>
            <w:tcW w:w="2933" w:type="dxa"/>
          </w:tcPr>
          <w:p w:rsidR="00BC5F10" w:rsidRDefault="00A515E8" w:rsidP="00BC5F10">
            <w:r>
              <w:t>Vérification de la bonne configuration de l’ADC</w:t>
            </w:r>
          </w:p>
        </w:tc>
        <w:tc>
          <w:tcPr>
            <w:tcW w:w="1036" w:type="dxa"/>
          </w:tcPr>
          <w:p w:rsidR="00BC5F10" w:rsidRDefault="00BC5F10" w:rsidP="00BC5F10"/>
        </w:tc>
        <w:tc>
          <w:tcPr>
            <w:tcW w:w="1412" w:type="dxa"/>
          </w:tcPr>
          <w:p w:rsidR="00BC5F10" w:rsidRDefault="00BC5F10" w:rsidP="00BC5F10"/>
        </w:tc>
      </w:tr>
    </w:tbl>
    <w:p w:rsidR="00011D2D" w:rsidRPr="00256A6B" w:rsidRDefault="00011D2D" w:rsidP="00256A6B">
      <w:r>
        <w:lastRenderedPageBreak/>
        <w:t>D’après les critères d’</w:t>
      </w:r>
      <w:proofErr w:type="spellStart"/>
      <w:r>
        <w:t>acceptance</w:t>
      </w:r>
      <w:proofErr w:type="spellEnd"/>
      <w:r>
        <w:t xml:space="preserve"> il devient possible de faire une déclaration de conformité.</w:t>
      </w:r>
    </w:p>
    <w:p w:rsidR="00371647" w:rsidRDefault="00371647" w:rsidP="00371647">
      <w:pPr>
        <w:pStyle w:val="Heading1"/>
      </w:pPr>
      <w:r>
        <w:t>Procédure de test</w:t>
      </w:r>
    </w:p>
    <w:p w:rsidR="00AF13CA" w:rsidRPr="00AF13CA" w:rsidRDefault="00AF13CA" w:rsidP="00AF13CA">
      <w:r>
        <w:t xml:space="preserve">Les </w:t>
      </w:r>
      <w:r w:rsidR="0030748F">
        <w:t>explications et</w:t>
      </w:r>
      <w:r>
        <w:t xml:space="preserve"> la réalisation ont été les suivants :</w:t>
      </w:r>
    </w:p>
    <w:tbl>
      <w:tblPr>
        <w:tblStyle w:val="TableGrid"/>
        <w:tblW w:w="0" w:type="auto"/>
        <w:tblLook w:val="04A0" w:firstRow="1" w:lastRow="0" w:firstColumn="1" w:lastColumn="0" w:noHBand="0" w:noVBand="1"/>
      </w:tblPr>
      <w:tblGrid>
        <w:gridCol w:w="2122"/>
        <w:gridCol w:w="4961"/>
        <w:gridCol w:w="1979"/>
      </w:tblGrid>
      <w:tr w:rsidR="00AF13CA" w:rsidTr="003E6CAC">
        <w:tc>
          <w:tcPr>
            <w:tcW w:w="2122" w:type="dxa"/>
          </w:tcPr>
          <w:p w:rsidR="00AF13CA" w:rsidRDefault="00AF13CA" w:rsidP="00AF13CA">
            <w:r>
              <w:t>Spécification testée</w:t>
            </w:r>
          </w:p>
        </w:tc>
        <w:tc>
          <w:tcPr>
            <w:tcW w:w="4961" w:type="dxa"/>
          </w:tcPr>
          <w:p w:rsidR="00AF13CA" w:rsidRDefault="00AF13CA" w:rsidP="00AF13CA">
            <w:r>
              <w:t>Montage du test</w:t>
            </w:r>
          </w:p>
        </w:tc>
        <w:tc>
          <w:tcPr>
            <w:tcW w:w="1979" w:type="dxa"/>
          </w:tcPr>
          <w:p w:rsidR="00AF13CA" w:rsidRDefault="00AF13CA" w:rsidP="00AF13CA">
            <w:r>
              <w:t>Résultats obtenus</w:t>
            </w:r>
          </w:p>
        </w:tc>
      </w:tr>
      <w:tr w:rsidR="00F82314" w:rsidTr="003E6CAC">
        <w:tc>
          <w:tcPr>
            <w:tcW w:w="2122" w:type="dxa"/>
          </w:tcPr>
          <w:p w:rsidR="003E6CAC" w:rsidRDefault="003E6CAC" w:rsidP="00AF13CA">
            <w:r>
              <w:t>Bloc alimentation</w:t>
            </w:r>
          </w:p>
        </w:tc>
        <w:tc>
          <w:tcPr>
            <w:tcW w:w="4961" w:type="dxa"/>
          </w:tcPr>
          <w:p w:rsidR="00F82314" w:rsidRDefault="003E6CAC" w:rsidP="00AF13CA">
            <w:r>
              <w:t>Connexion de la batterie (et USB) et vérification des tensions d’alimentations 5V, 3.3V aux différents points de test</w:t>
            </w:r>
          </w:p>
        </w:tc>
        <w:tc>
          <w:tcPr>
            <w:tcW w:w="1979" w:type="dxa"/>
          </w:tcPr>
          <w:p w:rsidR="00F82314" w:rsidRDefault="00F82314" w:rsidP="00AF13CA"/>
        </w:tc>
      </w:tr>
      <w:tr w:rsidR="00F82314" w:rsidTr="003E6CAC">
        <w:tc>
          <w:tcPr>
            <w:tcW w:w="2122" w:type="dxa"/>
          </w:tcPr>
          <w:p w:rsidR="003E6CAC" w:rsidRDefault="003E6CAC" w:rsidP="00AF13CA">
            <w:r>
              <w:t>Bloc amplification (courant/tension)</w:t>
            </w:r>
          </w:p>
        </w:tc>
        <w:tc>
          <w:tcPr>
            <w:tcW w:w="4961" w:type="dxa"/>
          </w:tcPr>
          <w:p w:rsidR="00F82314" w:rsidRDefault="003E6CAC" w:rsidP="00AF13CA">
            <w:r>
              <w:t>Contrôle de la bonne conversion tension courant et de la tension à l’entrée du convertisseur analogique digital</w:t>
            </w:r>
          </w:p>
        </w:tc>
        <w:tc>
          <w:tcPr>
            <w:tcW w:w="1979" w:type="dxa"/>
          </w:tcPr>
          <w:p w:rsidR="00F82314" w:rsidRDefault="00F82314" w:rsidP="00AF13CA"/>
        </w:tc>
      </w:tr>
      <w:tr w:rsidR="003E6CAC" w:rsidTr="003E6CAC">
        <w:tc>
          <w:tcPr>
            <w:tcW w:w="2122" w:type="dxa"/>
          </w:tcPr>
          <w:p w:rsidR="003E6CAC" w:rsidRDefault="003E6CAC" w:rsidP="00AF13CA">
            <w:r>
              <w:t>Bloc conversion AD</w:t>
            </w:r>
          </w:p>
        </w:tc>
        <w:tc>
          <w:tcPr>
            <w:tcW w:w="4961" w:type="dxa"/>
          </w:tcPr>
          <w:p w:rsidR="003E6CAC" w:rsidRDefault="003E6CAC" w:rsidP="00336364">
            <w:r>
              <w:t>Contrôle de la tension de référence, du filtre FIR sur les pins CAPP et CAN,</w:t>
            </w:r>
            <w:r w:rsidR="00336364">
              <w:t xml:space="preserve"> paramétrage des registres du convertisseur et contrôle de l’échantillonnage sur le </w:t>
            </w:r>
            <w:r w:rsidR="00FB538E">
              <w:t>protocole</w:t>
            </w:r>
            <w:r w:rsidR="00336364">
              <w:t xml:space="preserve"> SPI</w:t>
            </w:r>
          </w:p>
        </w:tc>
        <w:tc>
          <w:tcPr>
            <w:tcW w:w="1979" w:type="dxa"/>
          </w:tcPr>
          <w:p w:rsidR="003E6CAC" w:rsidRDefault="003E6CAC" w:rsidP="00AF13CA"/>
        </w:tc>
      </w:tr>
      <w:tr w:rsidR="003E6CAC" w:rsidTr="003E6CAC">
        <w:tc>
          <w:tcPr>
            <w:tcW w:w="2122" w:type="dxa"/>
          </w:tcPr>
          <w:p w:rsidR="003E6CAC" w:rsidRDefault="003E6CAC" w:rsidP="003E6CAC">
            <w:r>
              <w:t>Bloc FPGA (FTDI)</w:t>
            </w:r>
          </w:p>
        </w:tc>
        <w:tc>
          <w:tcPr>
            <w:tcW w:w="4961" w:type="dxa"/>
          </w:tcPr>
          <w:p w:rsidR="003E6CAC" w:rsidRDefault="009B0A58" w:rsidP="00AF13CA">
            <w:r>
              <w:t xml:space="preserve">Vérification de la communication </w:t>
            </w:r>
            <w:r w:rsidR="00566F7B">
              <w:t>série</w:t>
            </w:r>
            <w:r>
              <w:t xml:space="preserve"> et de la programmation de la FPGA</w:t>
            </w:r>
            <w:r w:rsidR="00566F7B">
              <w:t>.</w:t>
            </w:r>
          </w:p>
        </w:tc>
        <w:tc>
          <w:tcPr>
            <w:tcW w:w="1979" w:type="dxa"/>
          </w:tcPr>
          <w:p w:rsidR="003E6CAC" w:rsidRDefault="003E6CAC" w:rsidP="00AF13CA"/>
        </w:tc>
      </w:tr>
      <w:tr w:rsidR="003E6CAC" w:rsidTr="003E6CAC">
        <w:tc>
          <w:tcPr>
            <w:tcW w:w="2122" w:type="dxa"/>
          </w:tcPr>
          <w:p w:rsidR="003E6CAC" w:rsidRDefault="003E6CAC" w:rsidP="003E6CAC">
            <w:r>
              <w:t>Mise en commun des parties et vérifications complète</w:t>
            </w:r>
          </w:p>
        </w:tc>
        <w:tc>
          <w:tcPr>
            <w:tcW w:w="4961" w:type="dxa"/>
          </w:tcPr>
          <w:p w:rsidR="003E6CAC" w:rsidRDefault="003E6CAC" w:rsidP="00AF13CA">
            <w:r>
              <w:t xml:space="preserve">Branchement complet du </w:t>
            </w:r>
            <w:proofErr w:type="spellStart"/>
            <w:r>
              <w:t>CanSat</w:t>
            </w:r>
            <w:proofErr w:type="spellEnd"/>
            <w:r>
              <w:t xml:space="preserve"> et mise en route de toutes les parties</w:t>
            </w:r>
          </w:p>
        </w:tc>
        <w:tc>
          <w:tcPr>
            <w:tcW w:w="1979" w:type="dxa"/>
          </w:tcPr>
          <w:p w:rsidR="003E6CAC" w:rsidRDefault="003E6CAC" w:rsidP="00AF13CA"/>
        </w:tc>
      </w:tr>
    </w:tbl>
    <w:p w:rsidR="00AF13CA" w:rsidRDefault="00AF13CA" w:rsidP="00AF13CA"/>
    <w:p w:rsidR="0030748F" w:rsidRDefault="006F48BA" w:rsidP="00AF13CA">
      <w:r>
        <w:t>Cette procédure de test est à améliorer si une partie citée si dessus ne fonctionne pas correctement, il est nécessaire de faire des étapes supplémentaires pour trouver l’origine de la panne.</w:t>
      </w:r>
    </w:p>
    <w:p w:rsidR="00F82314" w:rsidRDefault="00AF13CA" w:rsidP="00AF13CA">
      <w:pPr>
        <w:rPr>
          <w:rStyle w:val="Heading1Char"/>
        </w:rPr>
      </w:pPr>
      <w:r w:rsidRPr="00AF13CA">
        <w:rPr>
          <w:rStyle w:val="Heading1Char"/>
        </w:rPr>
        <w:t>Remarques</w:t>
      </w:r>
    </w:p>
    <w:p w:rsidR="00AF13CA" w:rsidRPr="00F82314" w:rsidRDefault="00AF13CA" w:rsidP="00AF13CA">
      <w:pPr>
        <w:rPr>
          <w:rFonts w:asciiTheme="majorHAnsi" w:eastAsiaTheme="majorEastAsia" w:hAnsiTheme="majorHAnsi" w:cstheme="majorBidi"/>
          <w:color w:val="2E74B5" w:themeColor="accent1" w:themeShade="BF"/>
          <w:sz w:val="32"/>
          <w:szCs w:val="32"/>
        </w:rPr>
      </w:pPr>
      <w:r>
        <w:t>Ces tests n’ont malheureusement pas pu être testé car l’électronique n’a pas été réalisé, le PCB n’est pas imprimé.</w:t>
      </w:r>
      <w:bookmarkStart w:id="0" w:name="_GoBack"/>
      <w:bookmarkEnd w:id="0"/>
    </w:p>
    <w:sectPr w:rsidR="00AF13CA" w:rsidRPr="00F82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867"/>
    <w:multiLevelType w:val="hybridMultilevel"/>
    <w:tmpl w:val="4204F312"/>
    <w:lvl w:ilvl="0" w:tplc="428ECCD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D57699"/>
    <w:multiLevelType w:val="hybridMultilevel"/>
    <w:tmpl w:val="1CBCD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D63B70"/>
    <w:multiLevelType w:val="hybridMultilevel"/>
    <w:tmpl w:val="E9A649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63784F"/>
    <w:multiLevelType w:val="hybridMultilevel"/>
    <w:tmpl w:val="A560EF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1E6041F"/>
    <w:multiLevelType w:val="hybridMultilevel"/>
    <w:tmpl w:val="9EE8CC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05576C7"/>
    <w:multiLevelType w:val="hybridMultilevel"/>
    <w:tmpl w:val="0804E9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724A39"/>
    <w:multiLevelType w:val="hybridMultilevel"/>
    <w:tmpl w:val="80081C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43"/>
    <w:rsid w:val="00011D2D"/>
    <w:rsid w:val="000656E4"/>
    <w:rsid w:val="00072A8D"/>
    <w:rsid w:val="00155435"/>
    <w:rsid w:val="001B75D3"/>
    <w:rsid w:val="00256A6B"/>
    <w:rsid w:val="0030748F"/>
    <w:rsid w:val="00312C49"/>
    <w:rsid w:val="00313D77"/>
    <w:rsid w:val="00326C97"/>
    <w:rsid w:val="00336364"/>
    <w:rsid w:val="00371647"/>
    <w:rsid w:val="0038790D"/>
    <w:rsid w:val="003A5AC5"/>
    <w:rsid w:val="003B3B17"/>
    <w:rsid w:val="003C32D8"/>
    <w:rsid w:val="003E6CAC"/>
    <w:rsid w:val="00402B92"/>
    <w:rsid w:val="00404C23"/>
    <w:rsid w:val="0045724B"/>
    <w:rsid w:val="004A73C2"/>
    <w:rsid w:val="004D4D67"/>
    <w:rsid w:val="005161BB"/>
    <w:rsid w:val="00566F7B"/>
    <w:rsid w:val="00577E17"/>
    <w:rsid w:val="006B4BFD"/>
    <w:rsid w:val="006F48BA"/>
    <w:rsid w:val="007E6940"/>
    <w:rsid w:val="007F690F"/>
    <w:rsid w:val="00860716"/>
    <w:rsid w:val="009B0A58"/>
    <w:rsid w:val="009E1ADF"/>
    <w:rsid w:val="00A202C8"/>
    <w:rsid w:val="00A35C3C"/>
    <w:rsid w:val="00A515E8"/>
    <w:rsid w:val="00AF13CA"/>
    <w:rsid w:val="00BC5F10"/>
    <w:rsid w:val="00BE30D0"/>
    <w:rsid w:val="00C42310"/>
    <w:rsid w:val="00C545D9"/>
    <w:rsid w:val="00C73737"/>
    <w:rsid w:val="00CD1452"/>
    <w:rsid w:val="00CE1263"/>
    <w:rsid w:val="00DB612F"/>
    <w:rsid w:val="00E33BFA"/>
    <w:rsid w:val="00E71F43"/>
    <w:rsid w:val="00EA433C"/>
    <w:rsid w:val="00ED09BD"/>
    <w:rsid w:val="00F82314"/>
    <w:rsid w:val="00FB53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8A10A-3051-4B27-BE79-9430BB43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3737"/>
    <w:pPr>
      <w:spacing w:after="0" w:line="240" w:lineRule="auto"/>
    </w:pPr>
  </w:style>
  <w:style w:type="character" w:customStyle="1" w:styleId="Heading1Char">
    <w:name w:val="Heading 1 Char"/>
    <w:basedOn w:val="DefaultParagraphFont"/>
    <w:link w:val="Heading1"/>
    <w:uiPriority w:val="9"/>
    <w:rsid w:val="00C737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373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B4BFD"/>
    <w:pPr>
      <w:spacing w:after="200" w:line="240" w:lineRule="auto"/>
    </w:pPr>
    <w:rPr>
      <w:i/>
      <w:iCs/>
      <w:color w:val="44546A" w:themeColor="text2"/>
      <w:sz w:val="18"/>
      <w:szCs w:val="18"/>
    </w:rPr>
  </w:style>
  <w:style w:type="paragraph" w:styleId="ListParagraph">
    <w:name w:val="List Paragraph"/>
    <w:basedOn w:val="Normal"/>
    <w:uiPriority w:val="34"/>
    <w:qFormat/>
    <w:rsid w:val="00BE30D0"/>
    <w:pPr>
      <w:ind w:left="720"/>
      <w:contextualSpacing/>
    </w:pPr>
  </w:style>
  <w:style w:type="table" w:styleId="TableGrid">
    <w:name w:val="Table Grid"/>
    <w:basedOn w:val="TableNormal"/>
    <w:uiPriority w:val="39"/>
    <w:rsid w:val="0025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09050">
      <w:bodyDiv w:val="1"/>
      <w:marLeft w:val="0"/>
      <w:marRight w:val="0"/>
      <w:marTop w:val="0"/>
      <w:marBottom w:val="0"/>
      <w:divBdr>
        <w:top w:val="none" w:sz="0" w:space="0" w:color="auto"/>
        <w:left w:val="none" w:sz="0" w:space="0" w:color="auto"/>
        <w:bottom w:val="none" w:sz="0" w:space="0" w:color="auto"/>
        <w:right w:val="none" w:sz="0" w:space="0" w:color="auto"/>
      </w:divBdr>
      <w:divsChild>
        <w:div w:id="759256411">
          <w:marLeft w:val="0"/>
          <w:marRight w:val="0"/>
          <w:marTop w:val="0"/>
          <w:marBottom w:val="0"/>
          <w:divBdr>
            <w:top w:val="none" w:sz="0" w:space="0" w:color="auto"/>
            <w:left w:val="none" w:sz="0" w:space="0" w:color="auto"/>
            <w:bottom w:val="none" w:sz="0" w:space="0" w:color="auto"/>
            <w:right w:val="none" w:sz="0" w:space="0" w:color="auto"/>
          </w:divBdr>
        </w:div>
        <w:div w:id="595214495">
          <w:marLeft w:val="0"/>
          <w:marRight w:val="0"/>
          <w:marTop w:val="0"/>
          <w:marBottom w:val="0"/>
          <w:divBdr>
            <w:top w:val="none" w:sz="0" w:space="0" w:color="auto"/>
            <w:left w:val="none" w:sz="0" w:space="0" w:color="auto"/>
            <w:bottom w:val="none" w:sz="0" w:space="0" w:color="auto"/>
            <w:right w:val="none" w:sz="0" w:space="0" w:color="auto"/>
          </w:divBdr>
        </w:div>
        <w:div w:id="691568136">
          <w:marLeft w:val="0"/>
          <w:marRight w:val="0"/>
          <w:marTop w:val="0"/>
          <w:marBottom w:val="0"/>
          <w:divBdr>
            <w:top w:val="none" w:sz="0" w:space="0" w:color="auto"/>
            <w:left w:val="none" w:sz="0" w:space="0" w:color="auto"/>
            <w:bottom w:val="none" w:sz="0" w:space="0" w:color="auto"/>
            <w:right w:val="none" w:sz="0" w:space="0" w:color="auto"/>
          </w:divBdr>
        </w:div>
        <w:div w:id="630670437">
          <w:marLeft w:val="0"/>
          <w:marRight w:val="0"/>
          <w:marTop w:val="0"/>
          <w:marBottom w:val="0"/>
          <w:divBdr>
            <w:top w:val="none" w:sz="0" w:space="0" w:color="auto"/>
            <w:left w:val="none" w:sz="0" w:space="0" w:color="auto"/>
            <w:bottom w:val="none" w:sz="0" w:space="0" w:color="auto"/>
            <w:right w:val="none" w:sz="0" w:space="0" w:color="auto"/>
          </w:divBdr>
        </w:div>
        <w:div w:id="1611469848">
          <w:marLeft w:val="0"/>
          <w:marRight w:val="0"/>
          <w:marTop w:val="0"/>
          <w:marBottom w:val="0"/>
          <w:divBdr>
            <w:top w:val="none" w:sz="0" w:space="0" w:color="auto"/>
            <w:left w:val="none" w:sz="0" w:space="0" w:color="auto"/>
            <w:bottom w:val="none" w:sz="0" w:space="0" w:color="auto"/>
            <w:right w:val="none" w:sz="0" w:space="0" w:color="auto"/>
          </w:divBdr>
        </w:div>
        <w:div w:id="1717581651">
          <w:marLeft w:val="0"/>
          <w:marRight w:val="0"/>
          <w:marTop w:val="0"/>
          <w:marBottom w:val="0"/>
          <w:divBdr>
            <w:top w:val="none" w:sz="0" w:space="0" w:color="auto"/>
            <w:left w:val="none" w:sz="0" w:space="0" w:color="auto"/>
            <w:bottom w:val="none" w:sz="0" w:space="0" w:color="auto"/>
            <w:right w:val="none" w:sz="0" w:space="0" w:color="auto"/>
          </w:divBdr>
        </w:div>
        <w:div w:id="34891553">
          <w:marLeft w:val="0"/>
          <w:marRight w:val="0"/>
          <w:marTop w:val="0"/>
          <w:marBottom w:val="0"/>
          <w:divBdr>
            <w:top w:val="none" w:sz="0" w:space="0" w:color="auto"/>
            <w:left w:val="none" w:sz="0" w:space="0" w:color="auto"/>
            <w:bottom w:val="none" w:sz="0" w:space="0" w:color="auto"/>
            <w:right w:val="none" w:sz="0" w:space="0" w:color="auto"/>
          </w:divBdr>
        </w:div>
        <w:div w:id="215552087">
          <w:marLeft w:val="0"/>
          <w:marRight w:val="0"/>
          <w:marTop w:val="0"/>
          <w:marBottom w:val="0"/>
          <w:divBdr>
            <w:top w:val="none" w:sz="0" w:space="0" w:color="auto"/>
            <w:left w:val="none" w:sz="0" w:space="0" w:color="auto"/>
            <w:bottom w:val="none" w:sz="0" w:space="0" w:color="auto"/>
            <w:right w:val="none" w:sz="0" w:space="0" w:color="auto"/>
          </w:divBdr>
        </w:div>
        <w:div w:id="1493988286">
          <w:marLeft w:val="0"/>
          <w:marRight w:val="0"/>
          <w:marTop w:val="0"/>
          <w:marBottom w:val="0"/>
          <w:divBdr>
            <w:top w:val="none" w:sz="0" w:space="0" w:color="auto"/>
            <w:left w:val="none" w:sz="0" w:space="0" w:color="auto"/>
            <w:bottom w:val="none" w:sz="0" w:space="0" w:color="auto"/>
            <w:right w:val="none" w:sz="0" w:space="0" w:color="auto"/>
          </w:divBdr>
        </w:div>
        <w:div w:id="1661999762">
          <w:marLeft w:val="0"/>
          <w:marRight w:val="0"/>
          <w:marTop w:val="0"/>
          <w:marBottom w:val="0"/>
          <w:divBdr>
            <w:top w:val="none" w:sz="0" w:space="0" w:color="auto"/>
            <w:left w:val="none" w:sz="0" w:space="0" w:color="auto"/>
            <w:bottom w:val="none" w:sz="0" w:space="0" w:color="auto"/>
            <w:right w:val="none" w:sz="0" w:space="0" w:color="auto"/>
          </w:divBdr>
        </w:div>
        <w:div w:id="1776944170">
          <w:marLeft w:val="0"/>
          <w:marRight w:val="0"/>
          <w:marTop w:val="0"/>
          <w:marBottom w:val="0"/>
          <w:divBdr>
            <w:top w:val="none" w:sz="0" w:space="0" w:color="auto"/>
            <w:left w:val="none" w:sz="0" w:space="0" w:color="auto"/>
            <w:bottom w:val="none" w:sz="0" w:space="0" w:color="auto"/>
            <w:right w:val="none" w:sz="0" w:space="0" w:color="auto"/>
          </w:divBdr>
        </w:div>
        <w:div w:id="1532839103">
          <w:marLeft w:val="0"/>
          <w:marRight w:val="0"/>
          <w:marTop w:val="0"/>
          <w:marBottom w:val="0"/>
          <w:divBdr>
            <w:top w:val="none" w:sz="0" w:space="0" w:color="auto"/>
            <w:left w:val="none" w:sz="0" w:space="0" w:color="auto"/>
            <w:bottom w:val="none" w:sz="0" w:space="0" w:color="auto"/>
            <w:right w:val="none" w:sz="0" w:space="0" w:color="auto"/>
          </w:divBdr>
        </w:div>
        <w:div w:id="1877615860">
          <w:marLeft w:val="0"/>
          <w:marRight w:val="0"/>
          <w:marTop w:val="0"/>
          <w:marBottom w:val="0"/>
          <w:divBdr>
            <w:top w:val="none" w:sz="0" w:space="0" w:color="auto"/>
            <w:left w:val="none" w:sz="0" w:space="0" w:color="auto"/>
            <w:bottom w:val="none" w:sz="0" w:space="0" w:color="auto"/>
            <w:right w:val="none" w:sz="0" w:space="0" w:color="auto"/>
          </w:divBdr>
        </w:div>
        <w:div w:id="815488698">
          <w:marLeft w:val="0"/>
          <w:marRight w:val="0"/>
          <w:marTop w:val="0"/>
          <w:marBottom w:val="0"/>
          <w:divBdr>
            <w:top w:val="none" w:sz="0" w:space="0" w:color="auto"/>
            <w:left w:val="none" w:sz="0" w:space="0" w:color="auto"/>
            <w:bottom w:val="none" w:sz="0" w:space="0" w:color="auto"/>
            <w:right w:val="none" w:sz="0" w:space="0" w:color="auto"/>
          </w:divBdr>
        </w:div>
        <w:div w:id="557278045">
          <w:marLeft w:val="0"/>
          <w:marRight w:val="0"/>
          <w:marTop w:val="0"/>
          <w:marBottom w:val="0"/>
          <w:divBdr>
            <w:top w:val="none" w:sz="0" w:space="0" w:color="auto"/>
            <w:left w:val="none" w:sz="0" w:space="0" w:color="auto"/>
            <w:bottom w:val="none" w:sz="0" w:space="0" w:color="auto"/>
            <w:right w:val="none" w:sz="0" w:space="0" w:color="auto"/>
          </w:divBdr>
        </w:div>
        <w:div w:id="134880028">
          <w:marLeft w:val="0"/>
          <w:marRight w:val="0"/>
          <w:marTop w:val="0"/>
          <w:marBottom w:val="0"/>
          <w:divBdr>
            <w:top w:val="none" w:sz="0" w:space="0" w:color="auto"/>
            <w:left w:val="none" w:sz="0" w:space="0" w:color="auto"/>
            <w:bottom w:val="none" w:sz="0" w:space="0" w:color="auto"/>
            <w:right w:val="none" w:sz="0" w:space="0" w:color="auto"/>
          </w:divBdr>
        </w:div>
      </w:divsChild>
    </w:div>
    <w:div w:id="406612313">
      <w:bodyDiv w:val="1"/>
      <w:marLeft w:val="0"/>
      <w:marRight w:val="0"/>
      <w:marTop w:val="0"/>
      <w:marBottom w:val="0"/>
      <w:divBdr>
        <w:top w:val="none" w:sz="0" w:space="0" w:color="auto"/>
        <w:left w:val="none" w:sz="0" w:space="0" w:color="auto"/>
        <w:bottom w:val="none" w:sz="0" w:space="0" w:color="auto"/>
        <w:right w:val="none" w:sz="0" w:space="0" w:color="auto"/>
      </w:divBdr>
      <w:divsChild>
        <w:div w:id="156894652">
          <w:marLeft w:val="0"/>
          <w:marRight w:val="0"/>
          <w:marTop w:val="0"/>
          <w:marBottom w:val="0"/>
          <w:divBdr>
            <w:top w:val="none" w:sz="0" w:space="0" w:color="auto"/>
            <w:left w:val="none" w:sz="0" w:space="0" w:color="auto"/>
            <w:bottom w:val="none" w:sz="0" w:space="0" w:color="auto"/>
            <w:right w:val="none" w:sz="0" w:space="0" w:color="auto"/>
          </w:divBdr>
        </w:div>
        <w:div w:id="295647839">
          <w:marLeft w:val="0"/>
          <w:marRight w:val="0"/>
          <w:marTop w:val="0"/>
          <w:marBottom w:val="0"/>
          <w:divBdr>
            <w:top w:val="none" w:sz="0" w:space="0" w:color="auto"/>
            <w:left w:val="none" w:sz="0" w:space="0" w:color="auto"/>
            <w:bottom w:val="none" w:sz="0" w:space="0" w:color="auto"/>
            <w:right w:val="none" w:sz="0" w:space="0" w:color="auto"/>
          </w:divBdr>
        </w:div>
        <w:div w:id="1627465261">
          <w:marLeft w:val="0"/>
          <w:marRight w:val="0"/>
          <w:marTop w:val="0"/>
          <w:marBottom w:val="0"/>
          <w:divBdr>
            <w:top w:val="none" w:sz="0" w:space="0" w:color="auto"/>
            <w:left w:val="none" w:sz="0" w:space="0" w:color="auto"/>
            <w:bottom w:val="none" w:sz="0" w:space="0" w:color="auto"/>
            <w:right w:val="none" w:sz="0" w:space="0" w:color="auto"/>
          </w:divBdr>
        </w:div>
      </w:divsChild>
    </w:div>
    <w:div w:id="175854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654</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Maret</dc:creator>
  <cp:keywords/>
  <dc:description/>
  <cp:lastModifiedBy>Yann Maret</cp:lastModifiedBy>
  <cp:revision>35</cp:revision>
  <dcterms:created xsi:type="dcterms:W3CDTF">2016-06-01T13:54:00Z</dcterms:created>
  <dcterms:modified xsi:type="dcterms:W3CDTF">2016-06-05T11:09:00Z</dcterms:modified>
</cp:coreProperties>
</file>