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&amp; Financial Alert - Global Systems 164 (SUPP_04684)</w:t>
      </w:r>
    </w:p>
    <w:p>
      <w:r>
        <w:t>SYNTHETIC DEMO DOCUMENT</w:t>
      </w:r>
    </w:p>
    <w:p>
      <w:r>
        <w:t>Date: 2026-10-10. Category: Traction &amp; propulsion (SIMULATED). Annual PO volume: EUR 15.0M.</w:t>
      </w:r>
    </w:p>
    <w:p>
      <w:r>
        <w:t>Internal total risk index: 31 (Medium) - looks acceptable, BUT Financial Health score is 78 (Critical).</w:t>
      </w:r>
    </w:p>
    <w:p>
      <w:r>
        <w:t>External signals: payment terms to sub-suppliers extended from 60 to 120 days; covenant waiver requested from lenders in August 2026; auditor's report includes a going-concern emphasis of matter.</w:t>
      </w:r>
    </w:p>
    <w:p>
      <w:r>
        <w:t>Dependency: we represent approx. 18% of the supplier's revenue (SIMULATED).</w:t>
      </w:r>
    </w:p>
    <w:p>
      <w:r>
        <w:t>Recommendation: request bank guarantee for prepayments, increase safety stock of traction motors from 4 to 10 weeks, start qualification of a second source (lead time 30+ weeks).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