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F3A68"/>
          <w:sz w:val="32"/>
        </w:rPr>
        <w:t>IoT Intrusion Detection — Project Report</w:t>
      </w:r>
    </w:p>
    <w:p>
      <w:pPr>
        <w:spacing w:after="20"/>
      </w:pPr>
      <w:r>
        <w:rPr>
          <w:rFonts w:ascii="Calibri" w:hAnsi="Calibri"/>
          <w:b/>
          <w:color w:val="222B3A"/>
          <w:sz w:val="20"/>
        </w:rPr>
        <w:t xml:space="preserve">Authors: </w:t>
      </w:r>
      <w:r>
        <w:rPr>
          <w:rFonts w:ascii="Calibri" w:hAnsi="Calibri"/>
          <w:b w:val="0"/>
          <w:color w:val="222B3A"/>
          <w:sz w:val="20"/>
        </w:rPr>
        <w:t>[TEAM MEMBER NAMES]</w:t>
      </w:r>
    </w:p>
    <w:p>
      <w:pPr>
        <w:spacing w:after="20"/>
      </w:pPr>
      <w:r>
        <w:rPr>
          <w:rFonts w:ascii="Calibri" w:hAnsi="Calibri"/>
          <w:b/>
          <w:color w:val="222B3A"/>
          <w:sz w:val="20"/>
        </w:rPr>
        <w:t xml:space="preserve">Course: </w:t>
      </w:r>
      <w:r>
        <w:rPr>
          <w:rFonts w:ascii="Calibri" w:hAnsi="Calibri"/>
          <w:b w:val="0"/>
          <w:color w:val="222B3A"/>
          <w:sz w:val="20"/>
        </w:rPr>
        <w:t>Machine Learning — Cybersecurity Project</w:t>
      </w:r>
    </w:p>
    <w:p>
      <w:pPr>
        <w:spacing w:after="120"/>
      </w:pPr>
      <w:r>
        <w:rPr>
          <w:rFonts w:ascii="Calibri" w:hAnsi="Calibri"/>
          <w:b/>
          <w:color w:val="222B3A"/>
          <w:sz w:val="20"/>
        </w:rPr>
        <w:t xml:space="preserve">Repository: </w:t>
      </w:r>
      <w:r>
        <w:rPr>
          <w:rFonts w:ascii="Calibri" w:hAnsi="Calibri"/>
          <w:b w:val="0"/>
          <w:color w:val="6B7280"/>
          <w:sz w:val="20"/>
        </w:rPr>
        <w:t>https://github.com/Emilio-Sakr/iot-intrusion-detection</w:t>
      </w:r>
    </w:p>
    <w:p>
      <w:pPr>
        <w:spacing w:before="120" w:after="40"/>
      </w:pPr>
      <w:r>
        <w:rPr>
          <w:rFonts w:ascii="Calibri" w:hAnsi="Calibri"/>
          <w:b/>
          <w:color w:val="1F3A68"/>
          <w:sz w:val="24"/>
        </w:rPr>
        <w:t>Data source</w:t>
      </w:r>
    </w:p>
    <w:p>
      <w:pPr>
        <w:spacing w:after="80" w:line="276" w:lineRule="auto"/>
        <w:jc w:val="both"/>
      </w:pPr>
      <w:r>
        <w:rPr>
          <w:rFonts w:ascii="Calibri" w:hAnsi="Calibri"/>
          <w:b w:val="0"/>
          <w:color w:val="222B3A"/>
          <w:sz w:val="20"/>
        </w:rPr>
        <w:t>CIC-IoT-2023 (Canadian Institute for Cybersecurity, University of New Brunswick). A 5.8 million-row sample drawn from the full dataset, covering 34 classes (benign traffic plus 33 attack families) described by 47 network-flow features. Class imbalance is severe: 230:1 between the largest class (DDoS-UDP_Fragmentation, 285 k rows) and the smallest (Uploading_Attack, 1.25 k rows).</w:t>
      </w:r>
    </w:p>
    <w:p>
      <w:pPr>
        <w:spacing w:before="120" w:after="40"/>
      </w:pPr>
      <w:r>
        <w:rPr>
          <w:rFonts w:ascii="Calibri" w:hAnsi="Calibri"/>
          <w:b/>
          <w:color w:val="1F3A68"/>
          <w:sz w:val="24"/>
        </w:rPr>
        <w:t>Approach</w:t>
      </w:r>
    </w:p>
    <w:p>
      <w:pPr>
        <w:spacing w:after="80" w:line="276" w:lineRule="auto"/>
        <w:jc w:val="both"/>
      </w:pPr>
      <w:r>
        <w:rPr>
          <w:rFonts w:ascii="Calibri" w:hAnsi="Calibri"/>
          <w:b w:val="0"/>
          <w:color w:val="222B3A"/>
          <w:sz w:val="20"/>
        </w:rPr>
        <w:t>End-to-end pipeline from raw CSV through a trained model to a containerised HTTP inference service. A single fitted preprocessor is shared between training and serving to eliminate training/inference drift. Three classifiers are fit against an identical stratified 70/15/15 split so that any performance difference is attributable to model capacity alone. The final model is a three-stage hierarchical Random Forest that decomposes the 34-class problem into three progressively finer decisions.</w:t>
      </w:r>
    </w:p>
    <w:p>
      <w:pPr>
        <w:spacing w:before="120" w:after="40"/>
      </w:pPr>
      <w:r>
        <w:rPr>
          <w:rFonts w:ascii="Calibri" w:hAnsi="Calibri"/>
          <w:b/>
          <w:color w:val="1F3A68"/>
          <w:sz w:val="24"/>
        </w:rPr>
        <w:t>Methods</w:t>
      </w:r>
    </w:p>
    <w:p>
      <w:pPr>
        <w:pStyle w:val="ListBullet"/>
        <w:spacing w:after="40" w:line="264" w:lineRule="auto"/>
      </w:pPr>
      <w:r>
        <w:rPr>
          <w:rFonts w:ascii="Calibri" w:hAnsi="Calibri"/>
          <w:b/>
          <w:color w:val="222B3A"/>
          <w:sz w:val="20"/>
        </w:rPr>
        <w:t xml:space="preserve">Preprocessing — </w:t>
      </w:r>
      <w:r>
        <w:rPr>
          <w:rFonts w:ascii="Calibri" w:hAnsi="Calibri"/>
          <w:b w:val="0"/>
          <w:color w:val="222B3A"/>
          <w:sz w:val="20"/>
        </w:rPr>
        <w:t>schema-validated ingest, stratified 70/15/15 split fitted on training only. Pipeline: SimpleImputer(median) → PowerTransformer(Yeo-Johnson) on 19 skewed continuous features → StandardScaler.</w:t>
      </w:r>
    </w:p>
    <w:p>
      <w:pPr>
        <w:pStyle w:val="ListBullet"/>
        <w:spacing w:after="40" w:line="264" w:lineRule="auto"/>
      </w:pPr>
      <w:r>
        <w:rPr>
          <w:rFonts w:ascii="Calibri" w:hAnsi="Calibri"/>
          <w:b/>
          <w:color w:val="222B3A"/>
          <w:sz w:val="20"/>
        </w:rPr>
        <w:t xml:space="preserve">Imbalance handling — </w:t>
      </w:r>
      <w:r>
        <w:rPr>
          <w:rFonts w:ascii="Calibri" w:hAnsi="Calibri"/>
          <w:b w:val="0"/>
          <w:color w:val="222B3A"/>
          <w:sz w:val="20"/>
        </w:rPr>
        <w:t>balanced class weights w_c = N / (K · n_c) applied at the loss level. Rare classes (e.g. Uploading_Attack, weight 137) are upweighted without duplicating rows.</w:t>
      </w:r>
    </w:p>
    <w:p>
      <w:pPr>
        <w:pStyle w:val="ListBullet"/>
        <w:spacing w:after="40" w:line="264" w:lineRule="auto"/>
      </w:pPr>
      <w:r>
        <w:rPr>
          <w:rFonts w:ascii="Calibri" w:hAnsi="Calibri"/>
          <w:b/>
          <w:color w:val="222B3A"/>
          <w:sz w:val="20"/>
        </w:rPr>
        <w:t xml:space="preserve">Logistic Regression (baseline) — </w:t>
      </w:r>
      <w:r>
        <w:rPr>
          <w:rFonts w:ascii="Calibri" w:hAnsi="Calibri"/>
          <w:b w:val="0"/>
          <w:color w:val="222B3A"/>
          <w:sz w:val="20"/>
        </w:rPr>
        <w:t>multinomial L-BFGS with L2 regularisation, class-weighted cross-entropy, 4.08 M rows.</w:t>
      </w:r>
    </w:p>
    <w:p>
      <w:pPr>
        <w:pStyle w:val="ListBullet"/>
        <w:spacing w:after="40" w:line="264" w:lineRule="auto"/>
      </w:pPr>
      <w:r>
        <w:rPr>
          <w:rFonts w:ascii="Calibri" w:hAnsi="Calibri"/>
          <w:b/>
          <w:color w:val="222B3A"/>
          <w:sz w:val="20"/>
        </w:rPr>
        <w:t xml:space="preserve">Random Forest — </w:t>
      </w:r>
      <w:r>
        <w:rPr>
          <w:rFonts w:ascii="Calibri" w:hAnsi="Calibri"/>
          <w:b w:val="0"/>
          <w:color w:val="222B3A"/>
          <w:sz w:val="20"/>
        </w:rPr>
        <w:t>200 trees, min_samples_leaf=5, class_weight='balanced_subsample', 15 % subsample.</w:t>
      </w:r>
    </w:p>
    <w:p>
      <w:pPr>
        <w:pStyle w:val="ListBullet"/>
        <w:spacing w:after="40" w:line="264" w:lineRule="auto"/>
      </w:pPr>
      <w:r>
        <w:rPr>
          <w:rFonts w:ascii="Calibri" w:hAnsi="Calibri"/>
          <w:b/>
          <w:color w:val="222B3A"/>
          <w:sz w:val="20"/>
        </w:rPr>
        <w:t xml:space="preserve">Three-stage Random Forest (final) — </w:t>
      </w:r>
      <w:r>
        <w:rPr>
          <w:rFonts w:ascii="Calibri" w:hAnsi="Calibri"/>
          <w:b w:val="0"/>
          <w:color w:val="222B3A"/>
          <w:sz w:val="20"/>
        </w:rPr>
        <w:t>Stage 1 binary benign/attack; Stage 2 attack family (DDoS, DoS, Mirai, Recon, Spoofing, BruteScan, Web); Stage 3 one RF per family. 200 trees per stage, full 4.08 M training rows. A ThreeStageClassifier wrapper chains the three stages and exposes sklearn-like predict / predict_proba.</w:t>
      </w:r>
    </w:p>
    <w:p>
      <w:pPr>
        <w:pStyle w:val="ListBullet"/>
        <w:spacing w:after="40" w:line="264" w:lineRule="auto"/>
      </w:pPr>
      <w:r>
        <w:rPr>
          <w:rFonts w:ascii="Calibri" w:hAnsi="Calibri"/>
          <w:b/>
          <w:color w:val="222B3A"/>
          <w:sz w:val="20"/>
        </w:rPr>
        <w:t xml:space="preserve">Serving — </w:t>
      </w:r>
      <w:r>
        <w:rPr>
          <w:rFonts w:ascii="Calibri" w:hAnsi="Calibri"/>
          <w:b w:val="0"/>
          <w:color w:val="222B3A"/>
          <w:sz w:val="20"/>
        </w:rPr>
        <w:t>FastAPI service applies the same preprocessor at inference time; packaged as a Docker image with the trained model baked in.</w:t>
      </w:r>
    </w:p>
    <w:p>
      <w:pPr>
        <w:spacing w:before="120" w:after="40"/>
      </w:pPr>
      <w:r>
        <w:rPr>
          <w:rFonts w:ascii="Calibri" w:hAnsi="Calibri"/>
          <w:b/>
          <w:color w:val="1F3A68"/>
          <w:sz w:val="24"/>
        </w:rPr>
        <w:t>Results</w:t>
      </w:r>
    </w:p>
    <w:p>
      <w:pPr>
        <w:spacing w:after="40" w:line="276" w:lineRule="auto"/>
        <w:jc w:val="both"/>
      </w:pPr>
      <w:r>
        <w:rPr>
          <w:rFonts w:ascii="Calibri" w:hAnsi="Calibri"/>
          <w:b w:val="0"/>
          <w:color w:val="222B3A"/>
          <w:sz w:val="20"/>
        </w:rPr>
        <w:t>Evaluated on the held-out test split (875 710 rows). Primary metric is macro-F1 — raw accuracy is dominated by majority DDoS and Mirai classes.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val="clear" w:color="auto" w:fill="1F3A6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550"/>
            <w:vAlign w:val="center"/>
            <w:shd w:val="clear" w:color="auto" w:fill="1F3A68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Training rows</w:t>
            </w:r>
          </w:p>
        </w:tc>
        <w:tc>
          <w:tcPr>
            <w:tcW w:type="dxa" w:w="2550"/>
            <w:vAlign w:val="center"/>
            <w:shd w:val="clear" w:color="auto" w:fill="1F3A68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 accuracy</w:t>
            </w:r>
          </w:p>
        </w:tc>
        <w:tc>
          <w:tcPr>
            <w:tcW w:type="dxa" w:w="2550"/>
            <w:vAlign w:val="center"/>
            <w:shd w:val="clear" w:color="auto" w:fill="1F3A68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 macro-F1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222B3A"/>
                <w:sz w:val="20"/>
              </w:rPr>
              <w:t>Logistic Regression v2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222B3A"/>
                <w:sz w:val="20"/>
              </w:rPr>
              <w:t>4.08 M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222B3A"/>
                <w:sz w:val="20"/>
              </w:rPr>
              <w:t>0.7800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222B3A"/>
                <w:sz w:val="20"/>
              </w:rPr>
              <w:t>0.5727</w:t>
            </w:r>
          </w:p>
        </w:tc>
      </w:tr>
      <w:tr>
        <w:tc>
          <w:tcPr>
            <w:tcW w:type="dxa" w:w="2550"/>
            <w:vAlign w:val="center"/>
            <w:shd w:val="clear" w:color="auto" w:fill="F3F6F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222B3A"/>
                <w:sz w:val="20"/>
              </w:rPr>
              <w:t>Random Forest</w:t>
            </w:r>
          </w:p>
        </w:tc>
        <w:tc>
          <w:tcPr>
            <w:tcW w:type="dxa" w:w="2550"/>
            <w:vAlign w:val="center"/>
            <w:shd w:val="clear" w:color="auto" w:fill="F3F6F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222B3A"/>
                <w:sz w:val="20"/>
              </w:rPr>
              <w:t>614 K (15 %)</w:t>
            </w:r>
          </w:p>
        </w:tc>
        <w:tc>
          <w:tcPr>
            <w:tcW w:type="dxa" w:w="2550"/>
            <w:vAlign w:val="center"/>
            <w:shd w:val="clear" w:color="auto" w:fill="F3F6F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222B3A"/>
                <w:sz w:val="20"/>
              </w:rPr>
              <w:t>0.9602</w:t>
            </w:r>
          </w:p>
        </w:tc>
        <w:tc>
          <w:tcPr>
            <w:tcW w:type="dxa" w:w="2550"/>
            <w:vAlign w:val="center"/>
            <w:shd w:val="clear" w:color="auto" w:fill="F3F6F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222B3A"/>
                <w:sz w:val="20"/>
              </w:rPr>
              <w:t>0.8331</w:t>
            </w:r>
          </w:p>
        </w:tc>
      </w:tr>
      <w:tr>
        <w:tc>
          <w:tcPr>
            <w:tcW w:type="dxa" w:w="2550"/>
            <w:vAlign w:val="center"/>
            <w:shd w:val="clear" w:color="auto" w:fill="F3F6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59448"/>
                <w:sz w:val="20"/>
              </w:rPr>
              <w:t>Three-stage RF (final)</w:t>
            </w:r>
          </w:p>
        </w:tc>
        <w:tc>
          <w:tcPr>
            <w:tcW w:type="dxa" w:w="2550"/>
            <w:vAlign w:val="center"/>
            <w:shd w:val="clear" w:color="auto" w:fill="F3F6F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59448"/>
                <w:sz w:val="20"/>
              </w:rPr>
              <w:t>4.08 M</w:t>
            </w:r>
          </w:p>
        </w:tc>
        <w:tc>
          <w:tcPr>
            <w:tcW w:type="dxa" w:w="2550"/>
            <w:vAlign w:val="center"/>
            <w:shd w:val="clear" w:color="auto" w:fill="F3F6F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59448"/>
                <w:sz w:val="20"/>
              </w:rPr>
              <w:t>0.963</w:t>
            </w:r>
          </w:p>
        </w:tc>
        <w:tc>
          <w:tcPr>
            <w:tcW w:type="dxa" w:w="2550"/>
            <w:vAlign w:val="center"/>
            <w:shd w:val="clear" w:color="auto" w:fill="F3F6F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59448"/>
                <w:sz w:val="20"/>
              </w:rPr>
              <w:t>0.854</w:t>
            </w:r>
          </w:p>
        </w:tc>
      </w:tr>
    </w:tbl>
    <w:p>
      <w:pPr>
        <w:spacing w:after="80" w:line="276" w:lineRule="auto"/>
        <w:jc w:val="both"/>
      </w:pPr>
      <w:r>
        <w:rPr>
          <w:rFonts w:ascii="Calibri" w:hAnsi="Calibri"/>
          <w:b w:val="0"/>
          <w:color w:val="222B3A"/>
          <w:sz w:val="20"/>
        </w:rPr>
        <w:t>The three-stage hierarchy lifts rare web/application-layer classes (XSS, SqlInjection, Backdoor_Malware, BrowserHijacking, CommandInjection, Uploading_Attack) that flat classifiers confuse with benign HTTP. Validation-to-test macro-F1 delta is within ±0.002 on every model, confirming stratification held through both held-out splits.</w:t>
      </w:r>
    </w:p>
    <w:p>
      <w:pPr>
        <w:spacing w:before="120" w:after="40"/>
      </w:pPr>
      <w:r>
        <w:rPr>
          <w:rFonts w:ascii="Calibri" w:hAnsi="Calibri"/>
          <w:b/>
          <w:color w:val="1F3A68"/>
          <w:sz w:val="24"/>
        </w:rPr>
        <w:t>Conclusion</w:t>
      </w:r>
    </w:p>
    <w:p>
      <w:pPr>
        <w:spacing w:after="80" w:line="276" w:lineRule="auto"/>
        <w:jc w:val="both"/>
      </w:pPr>
      <w:r>
        <w:rPr>
          <w:rFonts w:ascii="Calibri" w:hAnsi="Calibri"/>
          <w:b w:val="0"/>
          <w:color w:val="222B3A"/>
          <w:sz w:val="20"/>
        </w:rPr>
        <w:t>A disciplined, imbalance-aware pipeline plus a hierarchical decomposition yields a deployable IDS at 96.3 % accuracy and ~0.85 macro-F1 using only flow-level features. Beyond ~0.85 the ceiling is dataset-bound — payload-level features (absent from this sample) would be required to further separate web-layer attacks from benign HTTP. The model is served via a Dockerised FastAPI endpoint with sub-second per-request latency, demonstrating feasibility of deployment as a real-time intrusion-detection service.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