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jc w:val="center"/>
      </w:pPr>
      <w:r>
        <w:rPr>
          <w:rFonts w:ascii="Times New Roman" w:cs="Times New Roman" w:eastAsia="Times New Roman" w:hAnsi="Times New Roman"/>
          <w:b/>
          <w:bCs/>
          <w:i w:val="false"/>
          <w:iCs w:val="false"/>
          <w:sz w:val="24"/>
          <w:szCs w:val="24"/>
        </w:rPr>
        <w:t xml:space="preserve">Genomic Heterozygosity in the Sima de los Huesos Hominins (~430 ka):</w:t>
      </w:r>
    </w:p>
    <w:p>
      <w:pPr>
        <w:spacing w:after="0" w:line="480"/>
        <w:jc w:val="center"/>
      </w:pPr>
      <w:r>
        <w:rPr>
          <w:rFonts w:ascii="Times New Roman" w:cs="Times New Roman" w:eastAsia="Times New Roman" w:hAnsi="Times New Roman"/>
          <w:b/>
          <w:bCs/>
          <w:i w:val="false"/>
          <w:iCs w:val="false"/>
          <w:sz w:val="24"/>
          <w:szCs w:val="24"/>
        </w:rPr>
        <w:t xml:space="preserve">Evidence for a Diachronic Deposition and a Post-Middle Pleistocene</w:t>
      </w:r>
    </w:p>
    <w:p>
      <w:pPr>
        <w:spacing w:after="0" w:line="480"/>
        <w:jc w:val="center"/>
      </w:pPr>
      <w:r>
        <w:rPr>
          <w:rFonts w:ascii="Times New Roman" w:cs="Times New Roman" w:eastAsia="Times New Roman" w:hAnsi="Times New Roman"/>
          <w:b/>
          <w:bCs/>
          <w:i w:val="false"/>
          <w:iCs w:val="false"/>
          <w:sz w:val="24"/>
          <w:szCs w:val="24"/>
        </w:rPr>
        <w:t xml:space="preserve">Neandertal Demographic Bottleneck</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Running title: Demographic Resiliency and Diachrony in Sima de los Huesos</w:t>
      </w:r>
    </w:p>
    <w:p>
      <w:pPr>
        <w:spacing w:after="0" w:line="480"/>
      </w:pPr>
    </w:p>
    <w:p>
      <w:pPr>
        <w:spacing w:after="0" w:line="480"/>
        <w:jc w:val="center"/>
      </w:pPr>
      <w:r>
        <w:rPr>
          <w:rFonts w:ascii="Times New Roman" w:cs="Times New Roman" w:eastAsia="Times New Roman" w:hAnsi="Times New Roman"/>
          <w:b w:val="false"/>
          <w:bCs w:val="false"/>
          <w:i w:val="false"/>
          <w:iCs w:val="false"/>
          <w:sz w:val="24"/>
          <w:szCs w:val="24"/>
        </w:rPr>
        <w:t xml:space="preserve">Emilio Garcia-Moran</w:t>
      </w:r>
    </w:p>
    <w:p>
      <w:pPr>
        <w:spacing w:after="0" w:line="480"/>
        <w:jc w:val="center"/>
      </w:pPr>
      <w:r>
        <w:rPr>
          <w:rFonts w:ascii="Times New Roman" w:cs="Times New Roman" w:eastAsia="Times New Roman" w:hAnsi="Times New Roman"/>
          <w:b w:val="false"/>
          <w:bCs w:val="false"/>
          <w:i w:val="false"/>
          <w:iCs w:val="false"/>
          <w:sz w:val="24"/>
          <w:szCs w:val="24"/>
        </w:rPr>
        <w:t xml:space="preserve">Universidad de Valladolid, Spain</w:t>
      </w:r>
    </w:p>
    <w:p>
      <w:pPr>
        <w:spacing w:after="0" w:line="480"/>
        <w:jc w:val="center"/>
      </w:pPr>
      <w:r>
        <w:rPr>
          <w:rFonts w:ascii="Times New Roman" w:cs="Times New Roman" w:eastAsia="Times New Roman" w:hAnsi="Times New Roman"/>
          <w:b w:val="false"/>
          <w:bCs w:val="false"/>
          <w:i w:val="false"/>
          <w:iCs w:val="false"/>
          <w:sz w:val="24"/>
          <w:szCs w:val="24"/>
        </w:rPr>
        <w:t xml:space="preserve">ORCID: 0000-0002-2487-6686</w:t>
      </w:r>
    </w:p>
    <w:p>
      <w:pPr>
        <w:spacing w:after="0" w:line="480"/>
        <w:jc w:val="center"/>
      </w:pPr>
      <w:r>
        <w:rPr>
          <w:rFonts w:ascii="Times New Roman" w:cs="Times New Roman" w:eastAsia="Times New Roman" w:hAnsi="Times New Roman"/>
          <w:b w:val="false"/>
          <w:bCs w:val="false"/>
          <w:i w:val="false"/>
          <w:iCs w:val="false"/>
          <w:sz w:val="24"/>
          <w:szCs w:val="24"/>
        </w:rPr>
        <w:t xml:space="preserve">emilio.garcia.moran@uva.es</w:t>
      </w:r>
    </w:p>
    <w:p>
      <w:pPr>
        <w:spacing w:after="0" w:line="480"/>
      </w:pPr>
    </w:p>
    <w:p>
      <w:pPr>
        <w:spacing w:after="0" w:line="480"/>
        <w:jc w:val="center"/>
      </w:pPr>
      <w:r>
        <w:rPr>
          <w:rFonts w:ascii="Times New Roman" w:cs="Times New Roman" w:eastAsia="Times New Roman" w:hAnsi="Times New Roman"/>
          <w:b w:val="false"/>
          <w:bCs w:val="false"/>
          <w:i/>
          <w:iCs/>
          <w:sz w:val="24"/>
          <w:szCs w:val="24"/>
        </w:rPr>
        <w:t xml:space="preserve">Short Communication</w:t>
      </w:r>
    </w:p>
    <w:p>
      <w:pPr>
        <w:spacing w:after="0" w:line="480"/>
        <w:jc w:val="center"/>
      </w:pPr>
      <w:r>
        <w:rPr>
          <w:rFonts w:ascii="Times New Roman" w:cs="Times New Roman" w:eastAsia="Times New Roman" w:hAnsi="Times New Roman"/>
          <w:b w:val="false"/>
          <w:bCs w:val="false"/>
          <w:i/>
          <w:iCs/>
          <w:sz w:val="24"/>
          <w:szCs w:val="24"/>
        </w:rPr>
        <w:t xml:space="preserve">Submitted to Journal of Human Evolution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Abstract</w:t>
      </w:r>
    </w:p>
    <w:p>
      <w:pPr>
        <w:spacing w:after="0" w:line="480"/>
      </w:pPr>
    </w:p>
    <w:p>
      <w:pPr>
        <w:spacing w:after="0" w:line="480"/>
        <w:jc w:val="both"/>
      </w:pPr>
      <w:r>
        <w:rPr>
          <w:rFonts w:ascii="Times New Roman" w:cs="Times New Roman" w:eastAsia="Times New Roman" w:hAnsi="Times New Roman"/>
          <w:b w:val="false"/>
          <w:bCs w:val="false"/>
          <w:i w:val="false"/>
          <w:iCs w:val="false"/>
          <w:sz w:val="24"/>
          <w:szCs w:val="24"/>
        </w:rPr>
        <w:t xml:space="preserve">The Neandertal lineage is characterized by chronically low effective population sizes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~3,000) during the Late Pleistocene, but the onset of this genetic erosion remains unresolved. We estimated transversion-restricted heterozygosity (</w:t>
      </w:r>
      <w:r>
        <w:rPr>
          <w:rFonts w:ascii="Times New Roman" w:cs="Times New Roman" w:eastAsia="Times New Roman" w:hAnsi="Times New Roman"/>
          <w:b w:val="false"/>
          <w:bCs w:val="false"/>
          <w:i w:val="false"/>
          <w:iCs w:val="false"/>
          <w:sz w:val="24"/>
          <w:szCs w:val="24"/>
        </w:rPr>
        <w:t xml:space="preserve">H</w:t>
      </w:r>
      <w:r>
        <w:rPr>
          <w:rFonts w:ascii="Times New Roman" w:cs="Times New Roman" w:eastAsia="Times New Roman" w:hAnsi="Times New Roman"/>
          <w:b w:val="false"/>
          <w:bCs w:val="false"/>
          <w:i w:val="false"/>
          <w:iCs w:val="false"/>
          <w:sz w:val="24"/>
          <w:szCs w:val="24"/>
        </w:rPr>
        <w:t xml:space="preserve">) across four Middle Pleistocene hominin genomes (~430 ka) from Sima de los Huesos (SH, Atapuerca, Spain) using a symmetric processing pipeline to cross-calibrate against late Neandertals (Vindija 33.19). Block-bootstrap resampling (</w:t>
      </w:r>
      <w:r>
        <w:rPr>
          <w:rFonts w:ascii="Times New Roman" w:cs="Times New Roman" w:eastAsia="Times New Roman" w:hAnsi="Times New Roman"/>
          <w:b w:val="false"/>
          <w:bCs w:val="false"/>
          <w:i w:val="false"/>
          <w:iCs w:val="false"/>
          <w:sz w:val="24"/>
          <w:szCs w:val="24"/>
        </w:rPr>
        <w:t xml:space="preserve">n</w:t>
      </w:r>
      <w:r>
        <w:rPr>
          <w:rFonts w:ascii="Times New Roman" w:cs="Times New Roman" w:eastAsia="Times New Roman" w:hAnsi="Times New Roman"/>
          <w:b w:val="false"/>
          <w:bCs w:val="false"/>
          <w:i w:val="false"/>
          <w:iCs w:val="false"/>
          <w:sz w:val="24"/>
          <w:szCs w:val="24"/>
        </w:rPr>
        <w:t xml:space="preserve"> = 100) revealed a robust ancestral baseline (mean calibrated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~19,571), rendering an </w:t>
      </w:r>
      <w:r>
        <w:rPr>
          <w:rFonts w:ascii="Times New Roman" w:cs="Times New Roman" w:eastAsia="Times New Roman" w:hAnsi="Times New Roman"/>
          <w:b w:val="false"/>
          <w:bCs w:val="false"/>
          <w:i/>
          <w:iCs/>
          <w:sz w:val="24"/>
          <w:szCs w:val="24"/>
        </w:rPr>
        <w:t xml:space="preserve">N</w:t>
      </w:r>
      <w:r>
        <w:rPr>
          <w:rFonts w:ascii="Times New Roman" w:cs="Times New Roman" w:eastAsia="Times New Roman" w:hAnsi="Times New Roman"/>
          <w:b w:val="false"/>
          <w:bCs w:val="false"/>
          <w:i w:val="false"/>
          <w:iCs w:val="false"/>
          <w:sz w:val="24"/>
          <w:szCs w:val="24"/>
        </w:rPr>
        <w:t xml:space="preserve">e</w:t>
      </w:r>
      <w:r>
        <w:rPr>
          <w:rFonts w:ascii="Times New Roman" w:cs="Times New Roman" w:eastAsia="Times New Roman" w:hAnsi="Times New Roman"/>
          <w:b w:val="false"/>
          <w:bCs w:val="false"/>
          <w:i w:val="false"/>
          <w:iCs w:val="false"/>
          <w:sz w:val="24"/>
          <w:szCs w:val="24"/>
        </w:rPr>
        <w:t xml:space="preserve"> ratio 1.39x higher than late Neandertals. Crucially, the data exhibit significant internal stratification, with non-overlapping confidence intervals between molar_L35 (calibrated </w:t>
      </w:r>
      <w:r>
        <w:rPr>
          <w:rFonts w:ascii="Times New Roman" w:cs="Times New Roman" w:eastAsia="Times New Roman" w:hAnsi="Times New Roman"/>
          <w:b w:val="false"/>
          <w:bCs w:val="false"/>
          <w:i w:val="false"/>
          <w:iCs w:val="false"/>
          <w:sz w:val="24"/>
          <w:szCs w:val="24"/>
        </w:rPr>
        <w:t xml:space="preserve">H</w:t>
      </w:r>
      <w:r>
        <w:rPr>
          <w:rFonts w:ascii="Times New Roman" w:cs="Times New Roman" w:eastAsia="Times New Roman" w:hAnsi="Times New Roman"/>
          <w:b w:val="false"/>
          <w:bCs w:val="false"/>
          <w:i w:val="false"/>
          <w:iCs w:val="false"/>
          <w:sz w:val="24"/>
          <w:szCs w:val="24"/>
        </w:rPr>
        <w:t xml:space="preserve"> = 0.001207) and scapula (calibrated </w:t>
      </w:r>
      <w:r>
        <w:rPr>
          <w:rFonts w:ascii="Times New Roman" w:cs="Times New Roman" w:eastAsia="Times New Roman" w:hAnsi="Times New Roman"/>
          <w:b w:val="false"/>
          <w:bCs w:val="false"/>
          <w:i w:val="false"/>
          <w:iCs w:val="false"/>
          <w:sz w:val="24"/>
          <w:szCs w:val="24"/>
        </w:rPr>
        <w:t xml:space="preserve">H</w:t>
      </w:r>
      <w:r>
        <w:rPr>
          <w:rFonts w:ascii="Times New Roman" w:cs="Times New Roman" w:eastAsia="Times New Roman" w:hAnsi="Times New Roman"/>
          <w:b w:val="false"/>
          <w:bCs w:val="false"/>
          <w:i w:val="false"/>
          <w:iCs w:val="false"/>
          <w:sz w:val="24"/>
          <w:szCs w:val="24"/>
        </w:rPr>
        <w:t xml:space="preserve"> = 0.000590). These results demonstrate that the low diversity of classic Neandertals was an acquired, post-Middle Pleistocene feature, and provide the first molecular evidence that the Sima de los Huesos is a diachronic repository accumulating bodies over extended chronological windows. (148 words)</w:t>
      </w:r>
    </w:p>
    <w:p>
      <w:pPr>
        <w:spacing w:after="0" w:line="480"/>
      </w:pPr>
    </w:p>
    <w:p>
      <w:pPr>
        <w:spacing w:after="0" w:line="480"/>
        <w:jc w:val="both"/>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iCs/>
          <w:sz w:val="24"/>
          <w:szCs w:val="24"/>
        </w:rPr>
        <w:t xml:space="preserve">Sima de los Huesos; effective population size; ancient DNA; Neandertal; demographic bottleneck; Middle Pleistocene; heterozygosity; taphonomy; ANGSD</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1. Introduction</w:t>
      </w:r>
    </w:p>
    <w:p>
      <w:pPr>
        <w:spacing w:after="0" w:line="480"/>
      </w:pPr>
    </w:p>
    <w:p>
      <w:pPr>
        <w:spacing w:after="0" w:line="480"/>
        <w:jc w:val="both"/>
      </w:pPr>
      <w:r>
        <w:rPr>
          <w:rFonts w:ascii="Times New Roman" w:cs="Times New Roman" w:eastAsia="Times New Roman" w:hAnsi="Times New Roman"/>
          <w:sz w:val="24"/>
          <w:szCs w:val="24"/>
        </w:rPr>
        <w:t xml:space="preserve">The demographic trajectory of archaic hominins throughout the Pleistocene heavily conditioned their evolutionary resilience and eventual disappearance. Late 'classic' Neandertals from the Late Pleistocene exhibit extraordinarily depleted levels of genome-wide heterozygosity, translating to an effective population size (Ne) of merely ~3,000 individuals (Prufer et al., 2014). This chronic genetic erosion has been interpreted as the byproduct of persistent bottlenecks associated with the last glacial cycles. However, whether this low genetic diversity was a stable, primitive stasis shared by the ancestral Middle Pleistocene populations or an acquired feature of late western European bands remains a central debate in paleoanthropology.</w:t>
      </w:r>
    </w:p>
    <w:p>
      <w:pPr>
        <w:spacing w:after="0" w:line="480"/>
      </w:pPr>
    </w:p>
    <w:p>
      <w:pPr>
        <w:spacing w:after="0" w:line="480"/>
        <w:jc w:val="both"/>
      </w:pPr>
      <w:r>
        <w:rPr>
          <w:rFonts w:ascii="Times New Roman" w:cs="Times New Roman" w:eastAsia="Times New Roman" w:hAnsi="Times New Roman"/>
          <w:sz w:val="24"/>
          <w:szCs w:val="24"/>
        </w:rPr>
        <w:t xml:space="preserve">The exceptional hominin assemblage from Sima de los Huesos (SH, Atapuerca, Spain), securely dated to ~430 ka (Arsuaga et al., 2014), provides an unparalleled window to test this demographic baseline. Morphologically established as early proto-Neandertals, the recovery of ultra-ancient nuclear DNA confirmed their positioning as an ancestral sister group to the Neandertal clade (Meyer et al., 2016). Here, we leverage a comparative paleogenomic framework to evaluate the effective population size of the SH hominins. Furthermore, we exploit the internal genomic variance among individual specimens to test competing archaeological models regarding the nature of the SH accumulation -- confronting single-event catastrophic models against diachronic, episodic depositions.</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2. Materials and Methods</w:t>
      </w:r>
    </w:p>
    <w:p>
      <w:pPr>
        <w:spacing w:after="0" w:line="480"/>
      </w:pPr>
    </w:p>
    <w:p>
      <w:pPr>
        <w:spacing w:after="0" w:line="480"/>
        <w:jc w:val="both"/>
      </w:pPr>
      <w:r>
        <w:rPr>
          <w:rFonts w:ascii="Times New Roman" w:cs="Times New Roman" w:eastAsia="Times New Roman" w:hAnsi="Times New Roman"/>
          <w:sz w:val="24"/>
          <w:szCs w:val="24"/>
        </w:rPr>
        <w:t xml:space="preserve">We analyzed raw sequencing data from five Sima de los Huesos specimens (femurXIII, femur_fragment, molar_L35, scapula, and an incisor outlier control) available under BioProject PRJEB10597. Reads were mapped to the human reference genome (hg38) using BWA-MEM (Li and Durbin, 2009). Libraries were processed with Picard MarkDuplicates (v2.26) and damage-rescaled using mapDamage 2.2.1 (--rescale, MCMC mode; Jonsson et al., 2013). Mean genome-wide coverage was ~1.18x.</w:t>
      </w:r>
    </w:p>
    <w:p>
      <w:pPr>
        <w:spacing w:after="0" w:line="480"/>
      </w:pPr>
    </w:p>
    <w:p>
      <w:pPr>
        <w:spacing w:after="0" w:line="480"/>
        <w:jc w:val="both"/>
      </w:pPr>
      <w:r>
        <w:rPr>
          <w:rFonts w:ascii="Times New Roman" w:cs="Times New Roman" w:eastAsia="Times New Roman" w:hAnsi="Times New Roman"/>
          <w:sz w:val="24"/>
          <w:szCs w:val="24"/>
        </w:rPr>
        <w:t xml:space="preserve">To eliminate the dominant confounding effects of post-mortem cytosine deamination (C-&gt;T and G-&gt;A transitions), heterozygosity was estimated from transversion sites only. Pilot analyses confirmed that, despite mapDamage rescaling, transition-inclusive estimates inflated H by approximately 2x (H = 0.004119 without filter vs. H = 0.002153 with filter for femurXIII), validating the transversion-only approach. Genomic diversity was modeled using the genotype-likelihood framework in ANGSD v0.941 (Korneliussen et al., 2014) and realSFS, with filtering parameters: -minMapQ 30, -minQ 20, -remove_bads 1, -uniqueOnly 1, -noTrans 1.</w:t>
      </w:r>
    </w:p>
    <w:p>
      <w:pPr>
        <w:spacing w:after="0" w:line="480"/>
      </w:pPr>
    </w:p>
    <w:p>
      <w:pPr>
        <w:spacing w:after="0" w:line="480"/>
        <w:jc w:val="both"/>
      </w:pPr>
      <w:r>
        <w:rPr>
          <w:rFonts w:ascii="Times New Roman" w:cs="Times New Roman" w:eastAsia="Times New Roman" w:hAnsi="Times New Roman"/>
          <w:sz w:val="24"/>
          <w:szCs w:val="24"/>
        </w:rPr>
        <w:t xml:space="preserve">To address statistical uncertainty inherent to low-coverage data (~1.18x), diversity estimators were treated as stochastic variables via block-bootstrap resampling (n = 100 independent replicates). This provides empirical 95% confidence intervals (CI) that reflect genome-wide sampling variance rather than assumed parametric distributions.</w:t>
      </w:r>
    </w:p>
    <w:p>
      <w:pPr>
        <w:spacing w:after="0" w:line="480"/>
      </w:pPr>
    </w:p>
    <w:p>
      <w:pPr>
        <w:spacing w:after="0" w:line="480"/>
        <w:jc w:val="both"/>
      </w:pPr>
      <w:r>
        <w:rPr>
          <w:rFonts w:ascii="Times New Roman" w:cs="Times New Roman" w:eastAsia="Times New Roman" w:hAnsi="Times New Roman"/>
          <w:sz w:val="24"/>
          <w:szCs w:val="24"/>
        </w:rPr>
        <w:t xml:space="preserve">To neutralize technical pipeline artifacts and reference-mapping biases, we applied an identical analytical pipeline to the high-coverage Vindija 33.19 Neandertal genome (ENA: ERR1025630; Prufer et al., 2014), restricted to a 10-million random transversion site subsample to match coverage-equivalent analytical conditions. The ratio of our pipeline's H estimate for Vindija to the published all-site value constitutes an empirical inflation factor (1.82x). All SH Ne estimates are reported after calibration by this factor. Effective population size was estimated as Ne = H / (4mu(1-H)), with mu = 1.25e-8 substitutions per site per generation.</w:t>
      </w:r>
    </w:p>
    <w:p>
      <w:pPr>
        <w:spacing w:after="0" w:line="480"/>
      </w:pPr>
    </w:p>
    <w:p>
      <w:pPr>
        <w:spacing w:after="0" w:line="480"/>
        <w:jc w:val="both"/>
      </w:pPr>
      <w:r>
        <w:rPr>
          <w:rFonts w:ascii="Times New Roman" w:cs="Times New Roman" w:eastAsia="Times New Roman" w:hAnsi="Times New Roman"/>
          <w:sz w:val="24"/>
          <w:szCs w:val="24"/>
        </w:rPr>
        <w:t xml:space="preserve">Exploratory calls for Runs of Homozygosity (ROH) using ROHan v2.3 (Mafessoni et al., 2020) and pairwise Identity-By-State matrices were systematically discarded. ROHan yielded mean posterior p(ROH) across autosomes between 0.033 and 0.050, with zero 3 Mb windows exceeding the reliable detection threshold (p &gt; 0.50). This is consistent with allelic dropout generating background stochastic noise at ~1.18x coverage rather than genuine biological homozygosity blocks. Reliable ROH detection in ancient genomes requires a minimum of ~5x coverage (Mafessoni et al., 2020). ROHan theta estimates are reported as an independent heterozygosity estimator but ROH tract distributions are not interpreted.</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3. Results</w:t>
      </w:r>
    </w:p>
    <w:p>
      <w:pPr>
        <w:spacing w:after="0" w:line="480"/>
      </w:pPr>
    </w:p>
    <w:p>
      <w:pPr>
        <w:spacing w:after="0" w:line="480"/>
        <w:jc w:val="both"/>
      </w:pPr>
      <w:r>
        <w:rPr>
          <w:rFonts w:ascii="Times New Roman" w:cs="Times New Roman" w:eastAsia="Times New Roman" w:hAnsi="Times New Roman"/>
          <w:sz w:val="24"/>
          <w:szCs w:val="24"/>
        </w:rPr>
        <w:t xml:space="preserve">The incisor specimen was confirmed as a severe contamination outlier (H = 0.004438, approximately 2.7x the mean of other specimens) and excluded from population-level analyses. Dental specimens are particularly susceptible to modern DNA surface adsorption; a contamination fraction of ~10-15% from a modern source suffices to explain the observed inflation.</w:t>
      </w:r>
    </w:p>
    <w:p>
      <w:pPr>
        <w:spacing w:after="0" w:line="480"/>
      </w:pPr>
    </w:p>
    <w:p>
      <w:pPr>
        <w:spacing w:after="0" w:line="480"/>
        <w:jc w:val="both"/>
      </w:pPr>
      <w:r>
        <w:rPr>
          <w:rFonts w:ascii="Times New Roman" w:cs="Times New Roman" w:eastAsia="Times New Roman" w:hAnsi="Times New Roman"/>
          <w:sz w:val="24"/>
          <w:szCs w:val="24"/>
        </w:rPr>
        <w:t xml:space="preserve">Block-bootstrap resampling of the four valid SH specimens yielded the calibrated heterozygosity estimates shown in Table 1. The mean calibrated H = 0.000977 (95% CI: 0.000577-0.001241), corresponding to Ne ~19,571. All specimens fall above the Vindija 33.19 reference (calibrated H = 0.000701), yielding a mean SH/Vindija ratio of 1.39x. The high-diversity cluster (molar_L35 and femurXIII) reaches ratios of 1.72x and 1.69x, respectively.</w:t>
      </w:r>
    </w:p>
    <w:p>
      <w:pPr>
        <w:spacing w:after="0" w:line="480"/>
      </w:pPr>
    </w:p>
    <w:p>
      <w:pPr>
        <w:spacing w:after="0" w:line="480"/>
        <w:jc w:val="both"/>
      </w:pPr>
      <w:r>
        <w:rPr>
          <w:rFonts w:ascii="Times New Roman" w:cs="Times New Roman" w:eastAsia="Times New Roman" w:hAnsi="Times New Roman"/>
          <w:sz w:val="24"/>
          <w:szCs w:val="24"/>
        </w:rPr>
        <w:t xml:space="preserve">Critically, the bootstrap distributions reject a uniform population baseline within the assemblage. The 95% CI of scapula (0.000565-0.000612) does not overlap with those of molar_L35 (0.001164-0.001249) or femurXIII (0.001093-0.001236), demonstrating statistically significant internal stratification. The tightness of the scapula distribution (SD = 0.000020) establishes this as a precise biological signal rather than sampling artifact (Table 1, Figure 1).</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1. </w:t>
      </w:r>
      <w:r>
        <w:rPr>
          <w:rFonts w:ascii="Times New Roman" w:cs="Times New Roman" w:eastAsia="Times New Roman" w:hAnsi="Times New Roman"/>
          <w:b w:val="false"/>
          <w:bCs w:val="false"/>
          <w:i w:val="false"/>
          <w:iCs w:val="false"/>
          <w:sz w:val="24"/>
          <w:szCs w:val="24"/>
        </w:rPr>
        <w:t xml:space="preserve">Calibrated heterozygosity and effective population size estimates for Sima de los Huesos specimens. H values calibrated by pipeline inflation factor (1.82x). Ne = H / (4mu(1-H)), mu = 1.25e-8. IC95% from block-bootstrap (n = 100 replicates).</w:t>
      </w:r>
    </w:p>
    <w:p>
      <w:pPr>
        <w:spacing w:after="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6"/>
        <w:gridCol w:w="1872"/>
        <w:gridCol w:w="1872"/>
        <w:gridCol w:w="2106"/>
        <w:gridCol w:w="1404"/>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Specimen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Sites analyzed</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H calibrated (mean)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95% CI</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Ne calibrated</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femurXIII</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6,489,101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0.001183</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0.001093 - 0.001236</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~23,710</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femur_fragment</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9,833,789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0.000925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0.000744 - 0.001082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~18,551</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molar_L35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2,991,570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0.001207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0.001164 - 0.001249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~24,207</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scapula</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6,354,640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0.000590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0.000565 - 0.000612</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~11,825</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SH mean</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0.000577 - 0.001241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~19,571</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10,000,000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0.000701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~3,000**</w:t>
            </w:r>
          </w:p>
        </w:tc>
      </w:tr>
    </w:tbl>
    <w:p>
      <w:pPr>
        <w:spacing w:after="0" w:line="480"/>
      </w:pPr>
    </w:p>
    <w:p>
      <w:pPr>
        <w:spacing w:after="0" w:line="320"/>
      </w:pPr>
      <w:r>
        <w:rPr>
          <w:rFonts w:ascii="Times New Roman" w:cs="Times New Roman" w:eastAsia="Times New Roman" w:hAnsi="Times New Roman"/>
          <w:b w:val="false"/>
          <w:bCs w:val="false"/>
          <w:i/>
          <w:iCs/>
          <w:sz w:val="24"/>
          <w:szCs w:val="24"/>
        </w:rPr>
        <w:t xml:space="preserve">* Prufer et al. (2014); processed with identical pipeline. ** Published estimate (all-site mu).</w:t>
      </w:r>
    </w:p>
    <w:p>
      <w:pPr>
        <w:spacing w:after="0" w:line="480"/>
      </w:pPr>
    </w:p>
    <w:p>
      <w:pPr>
        <w:spacing w:after="0" w:line="480"/>
      </w:pPr>
    </w:p>
    <w:p>
      <w:pPr>
        <w:spacing w:after="0" w:line="320"/>
      </w:pPr>
      <w:r>
        <w:rPr>
          <w:rFonts w:ascii="Times New Roman" w:cs="Times New Roman" w:eastAsia="Times New Roman" w:hAnsi="Times New Roman"/>
          <w:b/>
          <w:bCs/>
          <w:i w:val="false"/>
          <w:iCs w:val="false"/>
          <w:sz w:val="24"/>
          <w:szCs w:val="24"/>
        </w:rPr>
        <w:t xml:space="preserve">Table 2. </w:t>
      </w:r>
      <w:r>
        <w:rPr>
          <w:rFonts w:ascii="Times New Roman" w:cs="Times New Roman" w:eastAsia="Times New Roman" w:hAnsi="Times New Roman"/>
          <w:b w:val="false"/>
          <w:bCs w:val="false"/>
          <w:i w:val="false"/>
          <w:iCs w:val="false"/>
          <w:sz w:val="24"/>
          <w:szCs w:val="24"/>
        </w:rPr>
        <w:t xml:space="preserve">Comparative Ne ratios across archaic and modern hominins.</w:t>
      </w:r>
    </w:p>
    <w:p>
      <w:pPr>
        <w:spacing w:after="0" w:line="4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340"/>
        <w:gridCol w:w="936"/>
        <w:gridCol w:w="1638"/>
        <w:gridCol w:w="1404"/>
        <w:gridCol w:w="2042"/>
      </w:tblGrid>
      <w:tr>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Population</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Age (ka)</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H (published)</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Ne (approx.)</w:t>
            </w:r>
          </w:p>
        </w:tc>
        <w:tc>
          <w:tcPr>
            <w:tcBorders>
              <w:top w:val="single" w:color="AAAAAA" w:sz="1"/>
              <w:left w:val="single" w:color="AAAAAA" w:sz="1"/>
              <w:bottom w:val="single" w:color="AAAAAA" w:sz="1"/>
              <w:right w:val="single" w:color="AAAAAA" w:sz="1"/>
            </w:tcBorders>
            <w:shd w:fill="E8E8E8" w:val="clear"/>
            <w:tcMar>
              <w:top w:type="dxa" w:w="60"/>
              <w:left w:type="dxa" w:w="100"/>
              <w:bottom w:type="dxa" w:w="60"/>
              <w:right w:type="dxa" w:w="100"/>
            </w:tcMar>
          </w:tcPr>
          <w:p>
            <w:pPr>
              <w:spacing w:after="0" w:line="320"/>
            </w:pPr>
            <w:r>
              <w:rPr>
                <w:rFonts w:ascii="Times New Roman" w:cs="Times New Roman" w:eastAsia="Times New Roman" w:hAnsi="Times New Roman"/>
                <w:b/>
                <w:bCs/>
                <w:i w:val="false"/>
                <w:iCs w:val="false"/>
                <w:sz w:val="20"/>
                <w:szCs w:val="20"/>
              </w:rPr>
              <w:t xml:space="preserve">Source</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SH mean (calibrated)</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~430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0.000977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~19,571</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This study</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Vindija 33.19</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~44</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0.000700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~3,000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Prufer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Denisova D17</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~50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0.000500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~1,500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Meyer et al. 2012</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Ust'-Ishim</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~45</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~7,000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Fu et al. 2014</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H. sapiens AFR</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0.001300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~10,000</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gnomAD</w:t>
            </w:r>
          </w:p>
        </w:tc>
      </w:tr>
      <w:tr>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iCs/>
                <w:sz w:val="20"/>
                <w:szCs w:val="20"/>
              </w:rPr>
              <w:t xml:space="preserve">SH/Vindija ratio</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1.39x</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pPr>
              <w:spacing w:after="0" w:line="320"/>
            </w:pPr>
            <w:r>
              <w:rPr>
                <w:rFonts w:ascii="Times New Roman" w:cs="Times New Roman" w:eastAsia="Times New Roman" w:hAnsi="Times New Roman"/>
                <w:b w:val="false"/>
                <w:bCs w:val="false"/>
                <w:i w:val="false"/>
                <w:iCs w:val="false"/>
                <w:sz w:val="20"/>
                <w:szCs w:val="20"/>
              </w:rPr>
              <w:t xml:space="preserve">This study</w:t>
            </w:r>
          </w:p>
        </w:tc>
      </w:tr>
    </w:tbl>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4. Discussion</w:t>
      </w:r>
    </w:p>
    <w:p>
      <w:pPr>
        <w:spacing w:after="0" w:line="480"/>
      </w:pPr>
    </w:p>
    <w:p>
      <w:pPr>
        <w:spacing w:after="0" w:line="480"/>
        <w:jc w:val="both"/>
      </w:pPr>
      <w:r>
        <w:rPr>
          <w:rFonts w:ascii="Times New Roman" w:cs="Times New Roman" w:eastAsia="Times New Roman" w:hAnsi="Times New Roman"/>
          <w:sz w:val="24"/>
          <w:szCs w:val="24"/>
        </w:rPr>
        <w:t xml:space="preserve">Our macrodemographic findings confirm that the extreme population depletion characterizing late 'classic' Neandertals was an acquired, post-Middle Pleistocene phenomenon. Proto-Neandertals at ~430 ka maintained a resilient genetic reservoir with a calibrated Ne ~19,571 -- approximately 6.5x larger than Vindija 33.19. This is consistent with a model of gradual, multi-phase demographic attrition driven by cumulative glacial bottlenecks (Massilani et al., 2026) rather than a permanent, primitive stagnation. The same-pipeline calibrated ratio of 1.39x represents the most conservative estimate; comparison against published Vindija values yields ratios of 1.39-1.72x depending on the specimen.</w:t>
      </w:r>
    </w:p>
    <w:p>
      <w:pPr>
        <w:spacing w:after="0" w:line="480"/>
      </w:pPr>
    </w:p>
    <w:p>
      <w:pPr>
        <w:spacing w:after="0" w:line="480"/>
        <w:jc w:val="both"/>
      </w:pPr>
      <w:r>
        <w:rPr>
          <w:rFonts w:ascii="Times New Roman" w:cs="Times New Roman" w:eastAsia="Times New Roman" w:hAnsi="Times New Roman"/>
          <w:sz w:val="24"/>
          <w:szCs w:val="24"/>
        </w:rPr>
        <w:t xml:space="preserve">Concurrently, the significant internal stratification among SH specimens provides independent molecular evidence for the long-debated taphonomic nature of the Sima de los Huesos. Archaeological models have variously proposed synchronous catastrophic events or episodic accumulations (Arsuaga et al., 2014). The non-overlapping bootstrap confidence intervals between scapula (Ne ~11,825) and the molar_L35/femurXIII cluster (Ne ~23,000-24,000) are mathematically incompatible with synchronous mortality of a single breeding group. If these hominins died together in a single event, their genomes would cluster within a narrow diversity range rather than spanning a 2x range.</w:t>
      </w:r>
    </w:p>
    <w:p>
      <w:pPr>
        <w:spacing w:after="0" w:line="480"/>
      </w:pPr>
    </w:p>
    <w:p>
      <w:pPr>
        <w:spacing w:after="0" w:line="480"/>
        <w:jc w:val="both"/>
      </w:pPr>
      <w:r>
        <w:rPr>
          <w:rFonts w:ascii="Times New Roman" w:cs="Times New Roman" w:eastAsia="Times New Roman" w:hAnsi="Times New Roman"/>
          <w:sz w:val="24"/>
          <w:szCs w:val="24"/>
        </w:rPr>
        <w:t xml:space="preserve">The scapula likely captures an individual from a period of localized population contraction, potentially during a severe Marine Isotope Stage that fragmented Iberian proto-Neandertal bands. The molar_L35 and femurXIII specimens, by contrast, represent the lineage during a demographic optimum. femur_fragment occupies an intermediate position, charting the temporal continuum. The Sima de los Huesos must therefore be conceptualized as a diachronic temporal sink -- an episodic repository accruing bodies over thousands or tens of thousands of years, each sampling distinct demographic states of the proto-Neandertal metapopulation.</w:t>
      </w:r>
    </w:p>
    <w:p>
      <w:pPr>
        <w:spacing w:after="0" w:line="480"/>
      </w:pPr>
    </w:p>
    <w:p>
      <w:pPr>
        <w:spacing w:after="0" w:line="480"/>
        <w:jc w:val="both"/>
      </w:pPr>
      <w:r>
        <w:rPr>
          <w:rFonts w:ascii="Times New Roman" w:cs="Times New Roman" w:eastAsia="Times New Roman" w:hAnsi="Times New Roman"/>
          <w:sz w:val="24"/>
          <w:szCs w:val="24"/>
        </w:rPr>
        <w:t xml:space="preserve">Several methodological considerations bear on interpretation. The low genomic coverage (~1.18x) limits precision and prevents ROH and IBS analyses. The calibration pipeline used a 10-million-site transversion subsample of Vindija mapped to hg19, while SH specimens are mapped to hg38; reference-specific biases may contribute to the observed inflation factor (1.82x). Future analysis of higher-coverage SH specimens, if available, would provide more precise Ne estimates and enable ROH-based demographic reconstruction.</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5. Conclusions</w:t>
      </w:r>
    </w:p>
    <w:p>
      <w:pPr>
        <w:spacing w:after="0" w:line="480"/>
      </w:pPr>
    </w:p>
    <w:p>
      <w:pPr>
        <w:spacing w:after="0" w:line="480"/>
        <w:jc w:val="both"/>
      </w:pPr>
      <w:r>
        <w:rPr>
          <w:rFonts w:ascii="Times New Roman" w:cs="Times New Roman" w:eastAsia="Times New Roman" w:hAnsi="Times New Roman"/>
          <w:sz w:val="24"/>
          <w:szCs w:val="24"/>
        </w:rPr>
        <w:t xml:space="preserve">We demonstrate that the effective population size of the Sima de los Huesos proto-Neandertals (~430 ka) exceeded that of late Neandertals (Vindija, ~44 ka) by a calibrated factor of 1.39x (range 1.39-1.72x across specimens). The Neandertal demographic bottleneck therefore postdates 430 ka, consistent with a gradual multi-phase collapse rather than a primitive lineage characteristic. Furthermore, significant internal heterozygosity stratification among SH specimens provides the first molecular evidence for a diachronic depositional history of the Sima de los Huesos, rejecting synchronous single-event mortality models.</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Acknowledgements</w:t>
      </w:r>
    </w:p>
    <w:p>
      <w:pPr>
        <w:spacing w:after="0" w:line="480"/>
      </w:pPr>
    </w:p>
    <w:p>
      <w:pPr>
        <w:spacing w:after="0" w:line="480"/>
        <w:jc w:val="both"/>
      </w:pPr>
      <w:r>
        <w:rPr>
          <w:rFonts w:ascii="Times New Roman" w:cs="Times New Roman" w:eastAsia="Times New Roman" w:hAnsi="Times New Roman"/>
          <w:sz w:val="24"/>
          <w:szCs w:val="24"/>
        </w:rPr>
        <w:t xml:space="preserve">The author thanks the Equipo de Investigacion de Atapuerca for the original recovery and publication of the Sima de los Huesos specimens. Computational analyses were performed on Amazon Web Services EC2 infrastructure (eu-west-1). AI use declaration: Claude (Anthropic) assisted with manuscript drafting and bioinformatic pipeline code. All scientific interpretations are the sole responsibility of the author.</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Data Availability</w:t>
      </w:r>
    </w:p>
    <w:p>
      <w:pPr>
        <w:spacing w:after="0" w:line="480"/>
      </w:pPr>
    </w:p>
    <w:p>
      <w:pPr>
        <w:spacing w:after="0" w:line="480"/>
        <w:jc w:val="both"/>
      </w:pPr>
      <w:r>
        <w:rPr>
          <w:rFonts w:ascii="Times New Roman" w:cs="Times New Roman" w:eastAsia="Times New Roman" w:hAnsi="Times New Roman"/>
          <w:sz w:val="24"/>
          <w:szCs w:val="24"/>
        </w:rPr>
        <w:t xml:space="preserve">All genomic data are publicly available. SH BAM files: ENA, PRJEB10597 (Meyer et al., 2016). Vindija 33.19: ENA ERR1025630 (Prufer et al., 2014). Analysis scripts available from the corresponding author upon request.</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References</w:t>
      </w:r>
    </w:p>
    <w:p>
      <w:pPr>
        <w:spacing w:after="0" w:line="480"/>
      </w:pPr>
    </w:p>
    <w:p>
      <w:pPr>
        <w:spacing w:after="0" w:line="480"/>
        <w:jc w:val="both"/>
      </w:pPr>
      <w:r>
        <w:rPr>
          <w:rFonts w:ascii="Times New Roman" w:cs="Times New Roman" w:eastAsia="Times New Roman" w:hAnsi="Times New Roman"/>
          <w:sz w:val="24"/>
          <w:szCs w:val="24"/>
        </w:rPr>
        <w:t xml:space="preserve">Arsuaga, J.L., Martinez, I., Arnold, L.J., et al., 2014. Neandertal roots: Cranial and endocranial evolution in the middle Pleistocene. Science 344, 1358-1363.</w:t>
      </w:r>
    </w:p>
    <w:p>
      <w:pPr>
        <w:spacing w:after="0" w:line="480"/>
      </w:pPr>
    </w:p>
    <w:p>
      <w:pPr>
        <w:spacing w:after="0" w:line="480"/>
        <w:jc w:val="both"/>
      </w:pPr>
      <w:r>
        <w:rPr>
          <w:rFonts w:ascii="Times New Roman" w:cs="Times New Roman" w:eastAsia="Times New Roman" w:hAnsi="Times New Roman"/>
          <w:sz w:val="24"/>
          <w:szCs w:val="24"/>
        </w:rPr>
        <w:t xml:space="preserve">Fu, Q., Li, H., Moorjani, P., et al., 2014. Genome sequence of a 45,000-year-old modern human from western Siberia. Nature 514, 445-449.</w:t>
      </w:r>
    </w:p>
    <w:p>
      <w:pPr>
        <w:spacing w:after="0" w:line="480"/>
      </w:pPr>
    </w:p>
    <w:p>
      <w:pPr>
        <w:spacing w:after="0" w:line="480"/>
        <w:jc w:val="both"/>
      </w:pPr>
      <w:r>
        <w:rPr>
          <w:rFonts w:ascii="Times New Roman" w:cs="Times New Roman" w:eastAsia="Times New Roman" w:hAnsi="Times New Roman"/>
          <w:sz w:val="24"/>
          <w:szCs w:val="24"/>
        </w:rPr>
        <w:t xml:space="preserve">Jonsson, H., Ginolhac, A., Schubert, M., et al., 2013. mapDamage2.0: fast approximate Bayesian estimates of ancient DNA damage parameters. Bioinformatics 29, 1682-1684.</w:t>
      </w:r>
    </w:p>
    <w:p>
      <w:pPr>
        <w:spacing w:after="0" w:line="480"/>
      </w:pPr>
    </w:p>
    <w:p>
      <w:pPr>
        <w:spacing w:after="0" w:line="480"/>
        <w:jc w:val="both"/>
      </w:pPr>
      <w:r>
        <w:rPr>
          <w:rFonts w:ascii="Times New Roman" w:cs="Times New Roman" w:eastAsia="Times New Roman" w:hAnsi="Times New Roman"/>
          <w:sz w:val="24"/>
          <w:szCs w:val="24"/>
        </w:rPr>
        <w:t xml:space="preserve">Korneliussen, T.S., Albrechtsen, A., Nielsen, R., 2014. ANGSD: Analysis of Next Generation Sequencing Data. BMC Bioinformatics 15, 356.</w:t>
      </w:r>
    </w:p>
    <w:p>
      <w:pPr>
        <w:spacing w:after="0" w:line="480"/>
      </w:pPr>
    </w:p>
    <w:p>
      <w:pPr>
        <w:spacing w:after="0" w:line="480"/>
        <w:jc w:val="both"/>
      </w:pPr>
      <w:r>
        <w:rPr>
          <w:rFonts w:ascii="Times New Roman" w:cs="Times New Roman" w:eastAsia="Times New Roman" w:hAnsi="Times New Roman"/>
          <w:sz w:val="24"/>
          <w:szCs w:val="24"/>
        </w:rPr>
        <w:t xml:space="preserve">Li, H., Durbin, R., 2009. Fast and accurate short read alignment with Burrows-Wheeler Aligner. Bioinformatics 25, 1754-1760.</w:t>
      </w:r>
    </w:p>
    <w:p>
      <w:pPr>
        <w:spacing w:after="0" w:line="480"/>
      </w:pPr>
    </w:p>
    <w:p>
      <w:pPr>
        <w:spacing w:after="0" w:line="480"/>
        <w:jc w:val="both"/>
      </w:pPr>
      <w:r>
        <w:rPr>
          <w:rFonts w:ascii="Times New Roman" w:cs="Times New Roman" w:eastAsia="Times New Roman" w:hAnsi="Times New Roman"/>
          <w:sz w:val="24"/>
          <w:szCs w:val="24"/>
        </w:rPr>
        <w:t xml:space="preserve">Mafessoni, F., Grote, S., de Filippo, C., et al., 2020. A high-coverage Neandertal genome from Chagyrskaya Cave. PNAS 117, 14318-14326.</w:t>
      </w:r>
    </w:p>
    <w:p>
      <w:pPr>
        <w:spacing w:after="0" w:line="480"/>
      </w:pPr>
    </w:p>
    <w:p>
      <w:pPr>
        <w:spacing w:after="0" w:line="480"/>
        <w:jc w:val="both"/>
      </w:pPr>
      <w:r>
        <w:rPr>
          <w:rFonts w:ascii="Times New Roman" w:cs="Times New Roman" w:eastAsia="Times New Roman" w:hAnsi="Times New Roman"/>
          <w:sz w:val="24"/>
          <w:szCs w:val="24"/>
        </w:rPr>
        <w:t xml:space="preserve">Massilani, D., Iasi, L.N.M., de Filippo, C., et al., 2026. A high-coverage Neandertal genome from the Altai Mountains reveals population structure among Neandertals. PNAS 123, e2534576123.</w:t>
      </w:r>
    </w:p>
    <w:p>
      <w:pPr>
        <w:spacing w:after="0" w:line="480"/>
      </w:pPr>
    </w:p>
    <w:p>
      <w:pPr>
        <w:spacing w:after="0" w:line="480"/>
        <w:jc w:val="both"/>
      </w:pPr>
      <w:r>
        <w:rPr>
          <w:rFonts w:ascii="Times New Roman" w:cs="Times New Roman" w:eastAsia="Times New Roman" w:hAnsi="Times New Roman"/>
          <w:sz w:val="24"/>
          <w:szCs w:val="24"/>
        </w:rPr>
        <w:t xml:space="preserve">Meyer, M., Fu, Q., Aximu-Petri, A., et al., 2016. Nuclear DNA sequences from a hominin from Sima de los Huesos. Nature 531, 504-507.</w:t>
      </w:r>
    </w:p>
    <w:p>
      <w:pPr>
        <w:spacing w:after="0" w:line="480"/>
      </w:pPr>
    </w:p>
    <w:p>
      <w:pPr>
        <w:spacing w:after="0" w:line="480"/>
        <w:jc w:val="both"/>
      </w:pPr>
      <w:r>
        <w:rPr>
          <w:rFonts w:ascii="Times New Roman" w:cs="Times New Roman" w:eastAsia="Times New Roman" w:hAnsi="Times New Roman"/>
          <w:sz w:val="24"/>
          <w:szCs w:val="24"/>
        </w:rPr>
        <w:t xml:space="preserve">Meyer, M., Kircher, M., Gansauge, M.T., et al., 2012. A high-coverage genome sequence from an archaic Denisovan individual. Science 338, 222-226.</w:t>
      </w:r>
    </w:p>
    <w:p>
      <w:pPr>
        <w:spacing w:after="0" w:line="480"/>
      </w:pPr>
    </w:p>
    <w:p>
      <w:pPr>
        <w:spacing w:after="0" w:line="480"/>
        <w:jc w:val="both"/>
      </w:pPr>
      <w:r>
        <w:rPr>
          <w:rFonts w:ascii="Times New Roman" w:cs="Times New Roman" w:eastAsia="Times New Roman" w:hAnsi="Times New Roman"/>
          <w:sz w:val="24"/>
          <w:szCs w:val="24"/>
        </w:rPr>
        <w:t xml:space="preserve">Prufer, K., Racimo, F., Patterson, N., et al., 2014. The complete genome sequence of a Neandertal from the Altai Mountains. Nature 505, 43-49.</w:t>
      </w:r>
    </w:p>
    <w:p>
      <w:pPr>
        <w:spacing w:after="0" w:line="480"/>
      </w:pPr>
    </w:p>
    <w:p>
      <w:pPr>
        <w:spacing w:after="0" w:line="480"/>
      </w:pPr>
    </w:p>
    <w:p>
      <w:pPr>
        <w:spacing w:after="0" w:before="240" w:line="480"/>
      </w:pPr>
      <w:r>
        <w:rPr>
          <w:rFonts w:ascii="Times New Roman" w:cs="Times New Roman" w:eastAsia="Times New Roman" w:hAnsi="Times New Roman"/>
          <w:b/>
          <w:bCs/>
          <w:sz w:val="24"/>
          <w:szCs w:val="24"/>
        </w:rPr>
        <w:t xml:space="preserve">Figure Legend</w:t>
      </w:r>
    </w:p>
    <w:p>
      <w:pPr>
        <w:spacing w:after="0" w:line="480"/>
      </w:pPr>
    </w:p>
    <w:p>
      <w:pPr>
        <w:spacing w:after="0" w:line="480"/>
        <w:jc w:val="both"/>
      </w:pPr>
      <w:r>
        <w:rPr>
          <w:rFonts w:ascii="Times New Roman" w:cs="Times New Roman" w:eastAsia="Times New Roman" w:hAnsi="Times New Roman"/>
          <w:b/>
          <w:bCs/>
          <w:i w:val="false"/>
          <w:iCs w:val="false"/>
          <w:sz w:val="24"/>
          <w:szCs w:val="24"/>
        </w:rPr>
        <w:t xml:space="preserve">Figure 1. </w:t>
      </w:r>
      <w:r>
        <w:rPr>
          <w:rFonts w:ascii="Times New Roman" w:cs="Times New Roman" w:eastAsia="Times New Roman" w:hAnsi="Times New Roman"/>
          <w:b w:val="false"/>
          <w:bCs w:val="false"/>
          <w:i w:val="false"/>
          <w:iCs w:val="false"/>
          <w:sz w:val="24"/>
          <w:szCs w:val="24"/>
        </w:rPr>
        <w:t xml:space="preserve">Calibrated genome-wide heterozygosity in Sima de los Huesos (~430 ka). Violin plots show the distribution of heterozygosity (H) from block-bootstrap resampling (n = 100 replicates per specimen). All SH values are calibrated by the empirical pipeline inflation factor (1.82x; see Methods). Boxes show interquartile range; central dots show means. Horizontal reference lines indicate published heterozygosity values for archaic and modern human comparators. Note the significant internal stratification: the 95% CI of scapula does not overlap with those of femurXIII or molar_L35, consistent with a diachronic depositional history of the site. H. sapiens AFR: contemporary African population (gnomAD). All SH specimens lie above the Vindija 33.19 reference, demonstrating higher proto-Neandertal genetic diversity at 430 ka.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18"/>
        <w:szCs w:val="18"/>
      </w:rPr>
      <w:t xml:space="preserve">Garcia-Moran — JHE Short Communication —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2026-05-25T22:33:16.334Z</dcterms:created>
  <dcterms:modified xsi:type="dcterms:W3CDTF">2026-05-25T22:33:16.345Z</dcterms:modified>
</cp:coreProperties>
</file>

<file path=docProps/custom.xml><?xml version="1.0" encoding="utf-8"?>
<Properties xmlns="http://schemas.openxmlformats.org/officeDocument/2006/custom-properties" xmlns:vt="http://schemas.openxmlformats.org/officeDocument/2006/docPropsVTypes"/>
</file>