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jc w:val="center"/>
      </w:pPr>
      <w:r>
        <w:rPr>
          <w:rFonts w:ascii="Times New Roman" w:cs="Times New Roman" w:eastAsia="Times New Roman" w:hAnsi="Times New Roman"/>
          <w:b/>
          <w:bCs/>
          <w:i w:val="false"/>
          <w:iCs w:val="false"/>
          <w:sz w:val="24"/>
          <w:szCs w:val="24"/>
        </w:rPr>
        <w:t xml:space="preserve">Genomic heterogeneity among Sima de los Huesos hominins suggests demographic</w:t>
      </w:r>
    </w:p>
    <w:p>
      <w:pPr>
        <w:spacing w:after="0" w:line="480"/>
        <w:jc w:val="center"/>
      </w:pPr>
      <w:r>
        <w:rPr>
          <w:rFonts w:ascii="Times New Roman" w:cs="Times New Roman" w:eastAsia="Times New Roman" w:hAnsi="Times New Roman"/>
          <w:b/>
          <w:bCs/>
          <w:i w:val="false"/>
          <w:iCs w:val="false"/>
          <w:sz w:val="24"/>
          <w:szCs w:val="24"/>
        </w:rPr>
        <w:t xml:space="preserve">structure and potentially diachronic accumulation</w:t>
      </w:r>
    </w:p>
    <w:p>
      <w:pPr>
        <w:spacing w:after="0" w:line="480"/>
      </w:pPr>
    </w:p>
    <w:p>
      <w:pPr>
        <w:spacing w:after="0" w:line="480"/>
        <w:jc w:val="center"/>
      </w:pPr>
      <w:r>
        <w:rPr>
          <w:rFonts w:ascii="Times New Roman" w:cs="Times New Roman" w:eastAsia="Times New Roman" w:hAnsi="Times New Roman"/>
          <w:b w:val="false"/>
          <w:bCs w:val="false"/>
          <w:i/>
          <w:iCs/>
          <w:sz w:val="24"/>
          <w:szCs w:val="24"/>
        </w:rPr>
        <w:t xml:space="preserve">Running title: Genomic heterogeneity in Sima de los Huesos</w:t>
      </w:r>
    </w:p>
    <w:p>
      <w:pPr>
        <w:spacing w:after="0" w:line="480"/>
      </w:pPr>
    </w:p>
    <w:p>
      <w:pPr>
        <w:spacing w:after="0" w:line="480"/>
        <w:jc w:val="center"/>
      </w:pPr>
      <w:r>
        <w:rPr>
          <w:rFonts w:ascii="Times New Roman" w:cs="Times New Roman" w:eastAsia="Times New Roman" w:hAnsi="Times New Roman"/>
          <w:b w:val="false"/>
          <w:bCs w:val="false"/>
          <w:i w:val="false"/>
          <w:iCs w:val="false"/>
          <w:sz w:val="24"/>
          <w:szCs w:val="24"/>
        </w:rPr>
        <w:t xml:space="preserve">Emilio Garcia-Moran</w:t>
      </w:r>
    </w:p>
    <w:p>
      <w:pPr>
        <w:spacing w:after="0" w:line="480"/>
        <w:jc w:val="center"/>
      </w:pPr>
      <w:r>
        <w:rPr>
          <w:rFonts w:ascii="Times New Roman" w:cs="Times New Roman" w:eastAsia="Times New Roman" w:hAnsi="Times New Roman"/>
          <w:b w:val="false"/>
          <w:bCs w:val="false"/>
          <w:i w:val="false"/>
          <w:iCs w:val="false"/>
          <w:sz w:val="24"/>
          <w:szCs w:val="24"/>
        </w:rPr>
        <w:t xml:space="preserve">Universidad de Valladolid, Spain</w:t>
      </w:r>
    </w:p>
    <w:p>
      <w:pPr>
        <w:spacing w:after="0" w:line="480"/>
        <w:jc w:val="center"/>
      </w:pPr>
      <w:r>
        <w:rPr>
          <w:rFonts w:ascii="Times New Roman" w:cs="Times New Roman" w:eastAsia="Times New Roman" w:hAnsi="Times New Roman"/>
          <w:b w:val="false"/>
          <w:bCs w:val="false"/>
          <w:i w:val="false"/>
          <w:iCs w:val="false"/>
          <w:sz w:val="24"/>
          <w:szCs w:val="24"/>
        </w:rPr>
        <w:t xml:space="preserve">ORCID: 0000-0002-2487-6686</w:t>
      </w:r>
    </w:p>
    <w:p>
      <w:pPr>
        <w:spacing w:after="0" w:line="480"/>
        <w:jc w:val="center"/>
      </w:pPr>
      <w:r>
        <w:rPr>
          <w:rFonts w:ascii="Times New Roman" w:cs="Times New Roman" w:eastAsia="Times New Roman" w:hAnsi="Times New Roman"/>
          <w:b w:val="false"/>
          <w:bCs w:val="false"/>
          <w:i w:val="false"/>
          <w:iCs w:val="false"/>
          <w:sz w:val="24"/>
          <w:szCs w:val="24"/>
        </w:rPr>
        <w:t xml:space="preserve">emilio.garcia.moran@uva.es</w:t>
      </w:r>
    </w:p>
    <w:p>
      <w:pPr>
        <w:spacing w:after="0" w:line="480"/>
      </w:pPr>
    </w:p>
    <w:p>
      <w:pPr>
        <w:spacing w:after="0" w:line="480"/>
        <w:jc w:val="center"/>
      </w:pPr>
      <w:r>
        <w:rPr>
          <w:rFonts w:ascii="Times New Roman" w:cs="Times New Roman" w:eastAsia="Times New Roman" w:hAnsi="Times New Roman"/>
          <w:b w:val="false"/>
          <w:bCs w:val="false"/>
          <w:i/>
          <w:iCs/>
          <w:sz w:val="24"/>
          <w:szCs w:val="24"/>
        </w:rPr>
        <w:t xml:space="preserve">Short Communication</w:t>
      </w:r>
    </w:p>
    <w:p>
      <w:pPr>
        <w:spacing w:after="0" w:line="480"/>
        <w:jc w:val="center"/>
      </w:pPr>
      <w:r>
        <w:rPr>
          <w:rFonts w:ascii="Times New Roman" w:cs="Times New Roman" w:eastAsia="Times New Roman" w:hAnsi="Times New Roman"/>
          <w:b w:val="false"/>
          <w:bCs w:val="false"/>
          <w:i/>
          <w:iCs/>
          <w:sz w:val="24"/>
          <w:szCs w:val="24"/>
        </w:rPr>
        <w:t xml:space="preserve">Submitted to Journal of Human Evolution</w:t>
      </w:r>
    </w:p>
    <w:p>
      <w:pPr>
        <w:spacing w:after="0" w:line="480"/>
      </w:pPr>
    </w:p>
    <w:p>
      <w:pPr>
        <w:spacing w:after="0" w:line="480"/>
      </w:pPr>
    </w:p>
    <w:p>
      <w:pPr>
        <w:spacing w:after="0" w:before="240" w:line="480"/>
      </w:pPr>
      <w:r>
        <w:rPr>
          <w:rFonts w:ascii="Times New Roman" w:cs="Times New Roman" w:eastAsia="Times New Roman" w:hAnsi="Times New Roman"/>
          <w:b/>
          <w:bCs/>
          <w:sz w:val="24"/>
          <w:szCs w:val="24"/>
        </w:rPr>
        <w:t xml:space="preserve">Abstract</w:t>
      </w:r>
    </w:p>
    <w:p>
      <w:pPr>
        <w:spacing w:after="0" w:line="480"/>
      </w:pPr>
    </w:p>
    <w:p>
      <w:pPr>
        <w:spacing w:after="0" w:line="480"/>
        <w:jc w:val="both"/>
      </w:pPr>
      <w:r>
        <w:rPr>
          <w:rFonts w:ascii="Times New Roman" w:cs="Times New Roman" w:eastAsia="Times New Roman" w:hAnsi="Times New Roman"/>
          <w:sz w:val="24"/>
          <w:szCs w:val="24"/>
        </w:rPr>
        <w:t xml:space="preserve">The Neandertal lineage exhibits chronically low effective population sizes (Ne ~3,000) during the Late Pleistocene, but when this demographic erosion began remains unresolved. We estimated transversion-restricted heterozygosity (H) across four Middle Pleistocene hominin genomes (~430 ka) from Sima de los Huesos (SH, Atapuerca, Spain), using a symmetric processing pipeline to cross-calibrate against a late Neandertal reference (Vindija 33.19). Block-bootstrap resampling (n = 100, 5 Mb blocks) suggests a higher ancestral genetic diversity baseline (mean calibrated H = 0.000977; heterozygosity-derived Ne estimate ~19,571) than observed in late Neandertals (ratio 1.39x). Additionally, the data reveal significant internal heterogeneity among SH specimens, with non-overlapping confidence intervals between molar_L35 (calibrated H = 0.001207) and scapula (calibrated H = 0.000590). These results are consistent with a gradual post-Middle Pleistocene demographic decline in the Neandertal lineage, and suggest possible demographic structure or diachronic accumulation within the SH assemblage. (148 words)</w:t>
      </w:r>
    </w:p>
    <w:p>
      <w:pPr>
        <w:spacing w:after="0" w:line="480"/>
      </w:pPr>
    </w:p>
    <w:p>
      <w:pPr>
        <w:spacing w:after="0" w:line="480"/>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iCs/>
          <w:sz w:val="24"/>
          <w:szCs w:val="24"/>
        </w:rPr>
        <w:t xml:space="preserve">Sima de los Huesos; ancient DNA; heterozygosity; effective population size; Neandertals; Middle Pleistocene; taphonomy; ANGSD</w:t>
      </w:r>
    </w:p>
    <w:p>
      <w:pPr>
        <w:spacing w:after="0" w:line="480"/>
      </w:pPr>
    </w:p>
    <w:p>
      <w:pPr>
        <w:spacing w:after="0" w:line="480"/>
      </w:pPr>
    </w:p>
    <w:p>
      <w:pPr>
        <w:spacing w:after="0" w:before="240" w:line="480"/>
      </w:pPr>
      <w:r>
        <w:rPr>
          <w:rFonts w:ascii="Times New Roman" w:cs="Times New Roman" w:eastAsia="Times New Roman" w:hAnsi="Times New Roman"/>
          <w:b/>
          <w:bCs/>
          <w:sz w:val="24"/>
          <w:szCs w:val="24"/>
        </w:rPr>
        <w:t xml:space="preserve">1. Introduction</w:t>
      </w:r>
    </w:p>
    <w:p>
      <w:pPr>
        <w:spacing w:after="0" w:line="480"/>
      </w:pPr>
    </w:p>
    <w:p>
      <w:pPr>
        <w:spacing w:after="0" w:line="480"/>
        <w:jc w:val="both"/>
      </w:pPr>
      <w:r>
        <w:rPr>
          <w:rFonts w:ascii="Times New Roman" w:cs="Times New Roman" w:eastAsia="Times New Roman" w:hAnsi="Times New Roman"/>
          <w:sz w:val="24"/>
          <w:szCs w:val="24"/>
        </w:rPr>
        <w:t xml:space="preserve">Late Pleistocene Neandertals exhibit markedly low genome-wide heterozygosity, with heterozygosity-equivalent effective population sizes (Ne) of approximately 3,000 for Vindija 33.19 (~44 ka; Prüfer et al., 2014) and ~1,500 for the Denisovan D17 (~50 ka; Meyer et al., 2012). Whether these values reflect a long-standing characteristic of the ancestral Neandertal lineage or emerged during the Late Pleistocene through progressive demographic attrition remains debated.</w:t>
      </w:r>
    </w:p>
    <w:p>
      <w:pPr>
        <w:spacing w:after="0" w:line="480"/>
      </w:pPr>
    </w:p>
    <w:p>
      <w:pPr>
        <w:spacing w:after="0" w:line="480"/>
        <w:jc w:val="both"/>
      </w:pPr>
      <w:r>
        <w:rPr>
          <w:rFonts w:ascii="Times New Roman" w:cs="Times New Roman" w:eastAsia="Times New Roman" w:hAnsi="Times New Roman"/>
          <w:sz w:val="24"/>
          <w:szCs w:val="24"/>
        </w:rPr>
        <w:t xml:space="preserve">The Sima de los Huesos (SH) hominin assemblage from Atapuerca, Spain, dated to ~430 ka (Arsuaga et al., 2014), offers a rare opportunity to examine genetic diversity in proto-Neandertals. Nuclear genomic analysis has placed SH within the Neandertal clade as a stem collateral lineage (Meyer et al., 2016). Here we estimate heterozygosity across four SH specimens and compare the results to late Neandertal and modern human references, using a calibrated pipeline designed to minimize technical biases. We also examine whether inter-specimen genomic heterogeneity within SH may reflect demographic structure or temporal heterogeneity in the assemblage's accumulation.</w:t>
      </w:r>
    </w:p>
    <w:p>
      <w:pPr>
        <w:spacing w:after="0" w:line="480"/>
      </w:pPr>
    </w:p>
    <w:p>
      <w:pPr>
        <w:spacing w:after="0" w:line="480"/>
      </w:pPr>
    </w:p>
    <w:p>
      <w:pPr>
        <w:spacing w:after="0" w:before="240" w:line="480"/>
      </w:pPr>
      <w:r>
        <w:rPr>
          <w:rFonts w:ascii="Times New Roman" w:cs="Times New Roman" w:eastAsia="Times New Roman" w:hAnsi="Times New Roman"/>
          <w:b/>
          <w:bCs/>
          <w:sz w:val="24"/>
          <w:szCs w:val="24"/>
        </w:rPr>
        <w:t xml:space="preserve">2. Materials and Methods</w:t>
      </w:r>
    </w:p>
    <w:p>
      <w:pPr>
        <w:spacing w:after="0" w:line="480"/>
      </w:pPr>
    </w:p>
    <w:p>
      <w:pPr>
        <w:spacing w:after="0" w:line="480"/>
        <w:jc w:val="both"/>
      </w:pPr>
      <w:r>
        <w:rPr>
          <w:rFonts w:ascii="Times New Roman" w:cs="Times New Roman" w:eastAsia="Times New Roman" w:hAnsi="Times New Roman"/>
          <w:sz w:val="24"/>
          <w:szCs w:val="24"/>
        </w:rPr>
        <w:t xml:space="preserve">Sequencing data from five SH specimens (femurXIII, femur_fragment, molar_L35, scapula, and an incisor) were obtained from ENA BioProject PRJEB10597. Reads were mapped to hg38 with BWA-MEM (Li and Durbin, 2009), duplicates marked with Picard (v2.26), and libraries damage-rescaled with mapDamage 2.2.1 (Jonsson et al., 2013). Mean genome-wide coverage was ~1.18x.</w:t>
      </w:r>
    </w:p>
    <w:p>
      <w:pPr>
        <w:spacing w:after="0" w:line="480"/>
      </w:pPr>
    </w:p>
    <w:p>
      <w:pPr>
        <w:spacing w:after="0" w:line="480"/>
        <w:jc w:val="both"/>
      </w:pPr>
      <w:r>
        <w:rPr>
          <w:rFonts w:ascii="Times New Roman" w:cs="Times New Roman" w:eastAsia="Times New Roman" w:hAnsi="Times New Roman"/>
          <w:sz w:val="24"/>
          <w:szCs w:val="24"/>
        </w:rPr>
        <w:t xml:space="preserve">Heterozygosity was estimated using transversion sites only (-noTrans 1 in ANGSD v0.941; Korneliussen et al., 2014), with filtering parameters -minMapQ 30, -minQ 20, -remove_bads 1, -uniqueOnly 1. This filter was validated by comparing transition-inclusive vs. transversion-only estimates for femurXIII: uncorrected H = 0.004119 vs. corrected H = 0.002153, a 2x inflation consistent with residual C-to-T deamination. Site frequency spectra (SFS) were estimated via realSFS. Bootstrap uncertainty was quantified using 100 independent block-bootstrap replicates of 5 Mb genomic blocks, yielding empirical 95% confidence intervals (CI). The total number of callable blocks per specimen ranged from 787 to 968 autosomally.</w:t>
      </w:r>
    </w:p>
    <w:p>
      <w:pPr>
        <w:spacing w:after="0" w:line="480"/>
      </w:pPr>
    </w:p>
    <w:p>
      <w:pPr>
        <w:spacing w:after="0" w:line="480"/>
        <w:jc w:val="both"/>
      </w:pPr>
      <w:r>
        <w:rPr>
          <w:rFonts w:ascii="Times New Roman" w:cs="Times New Roman" w:eastAsia="Times New Roman" w:hAnsi="Times New Roman"/>
          <w:sz w:val="24"/>
          <w:szCs w:val="24"/>
        </w:rPr>
        <w:t xml:space="preserve">To evaluate pipeline-specific biases, we applied the identical analytical procedure to the Vindija 33.19 BAM (ENA: ERR1025630; Prüfer et al., 2014; hg19 reference) restricted to 10 million random transversion sites. Our pipeline yielded H = 0.001277 for Vindija, compared to the published all-site estimate of H = 0.000700 (Prüfer et al., 2014), an empirical inflation factor of 1.82x. All SH H values are divided by this factor to produce calibrated estimates (calibration multiplier = 0.000701/0.001277 = 0.549). We note that this calibration is approximate: the Vindija BAM uses hg19 while SH uses hg38, the site subsample of 10 million may not fully represent genome-wide diversity, and the inflation factor may vary across coverage regimes. A sensitivity analysis using +/-20% variation in the inflation factor (1.46x-2.18x) yields calibrated SH/Vindija Ne ratios of 1.15x-1.65x, supporting the direction of the main finding while bracketing its magnitude.</w:t>
      </w:r>
    </w:p>
    <w:p>
      <w:pPr>
        <w:spacing w:after="0" w:line="480"/>
      </w:pPr>
    </w:p>
    <w:p>
      <w:pPr>
        <w:spacing w:after="0" w:line="480"/>
        <w:jc w:val="both"/>
      </w:pPr>
      <w:r>
        <w:rPr>
          <w:rFonts w:ascii="Times New Roman" w:cs="Times New Roman" w:eastAsia="Times New Roman" w:hAnsi="Times New Roman"/>
          <w:sz w:val="24"/>
          <w:szCs w:val="24"/>
        </w:rPr>
        <w:t xml:space="preserve">Effective population size was estimated as Ne = H / (4mu(1-H)) with mu = 1.25e-8. Given the low coverage and the absence of verified demographic equilibrium in SH, these values should be interpreted as heterozygosity-equivalent Ne proxies rather than absolute demographic estimates.</w:t>
      </w:r>
    </w:p>
    <w:p>
      <w:pPr>
        <w:spacing w:after="0" w:line="480"/>
      </w:pPr>
    </w:p>
    <w:p>
      <w:pPr>
        <w:spacing w:after="0" w:line="480"/>
        <w:jc w:val="both"/>
      </w:pPr>
      <w:r>
        <w:rPr>
          <w:rFonts w:ascii="Times New Roman" w:cs="Times New Roman" w:eastAsia="Times New Roman" w:hAnsi="Times New Roman"/>
          <w:sz w:val="24"/>
          <w:szCs w:val="24"/>
        </w:rPr>
        <w:t xml:space="preserve">Exploratory calls for Runs of Homozygosity (ROH) using ROHan v2.3 (Mafessoni et al., 2020) and pairwise Identity-By-State matrices were uninformative. ROHan yielded mean posterior p(ROH) of 0.033-0.050 across autosomes, with no 3 Mb window exceeding p &gt; 0.50, consistent with background stochastic noise at ~1.18x coverage rather than genuine homozygosity signal. Minimum coverage for reliable ROH detection in ancient genomes is approximately 5x (Mafessoni et al., 2020); these analyses are therefore not interpreted.</w:t>
      </w:r>
    </w:p>
    <w:p>
      <w:pPr>
        <w:spacing w:after="0" w:line="480"/>
      </w:pPr>
    </w:p>
    <w:p>
      <w:pPr>
        <w:spacing w:after="0" w:line="480"/>
      </w:pPr>
    </w:p>
    <w:p>
      <w:pPr>
        <w:spacing w:after="0" w:before="240" w:line="480"/>
      </w:pPr>
      <w:r>
        <w:rPr>
          <w:rFonts w:ascii="Times New Roman" w:cs="Times New Roman" w:eastAsia="Times New Roman" w:hAnsi="Times New Roman"/>
          <w:b/>
          <w:bCs/>
          <w:sz w:val="24"/>
          <w:szCs w:val="24"/>
        </w:rPr>
        <w:t xml:space="preserve">3. Results</w:t>
      </w:r>
    </w:p>
    <w:p>
      <w:pPr>
        <w:spacing w:after="0" w:line="480"/>
      </w:pPr>
    </w:p>
    <w:p>
      <w:pPr>
        <w:spacing w:after="0" w:line="480"/>
        <w:jc w:val="both"/>
      </w:pPr>
      <w:r>
        <w:rPr>
          <w:rFonts w:ascii="Times New Roman" w:cs="Times New Roman" w:eastAsia="Times New Roman" w:hAnsi="Times New Roman"/>
          <w:sz w:val="24"/>
          <w:szCs w:val="24"/>
        </w:rPr>
        <w:t xml:space="preserve">The incisor specimen showed markedly elevated heterozygosity (H = 0.004438, approximately 2.7x the mean of other specimens), consistent with modern DNA contamination, to which dental specimens are particularly susceptible. It was excluded from all population-level analyses.</w:t>
      </w:r>
    </w:p>
    <w:p>
      <w:pPr>
        <w:spacing w:after="0" w:line="480"/>
      </w:pPr>
    </w:p>
    <w:p>
      <w:pPr>
        <w:spacing w:after="0" w:line="480"/>
        <w:jc w:val="both"/>
      </w:pPr>
      <w:r>
        <w:rPr>
          <w:rFonts w:ascii="Times New Roman" w:cs="Times New Roman" w:eastAsia="Times New Roman" w:hAnsi="Times New Roman"/>
          <w:sz w:val="24"/>
          <w:szCs w:val="24"/>
        </w:rPr>
        <w:t xml:space="preserve">Block-bootstrap resampling of the four valid SH specimens yielded the calibrated heterozygosity estimates shown in Table 1. Mean calibrated H = 0.000977 (95% CI: 0.000577-0.001241), corresponding to a heterozygosity-derived Ne estimate of ~19,571. All four specimens yield calibrated H values above the Vindija reference (H = 0.000701), with a mean SH/Vindija ratio of 1.39x (range 1.22x-1.72x across specimens; Table 2).</w:t>
      </w:r>
    </w:p>
    <w:p>
      <w:pPr>
        <w:spacing w:after="0" w:line="480"/>
      </w:pPr>
    </w:p>
    <w:p>
      <w:pPr>
        <w:spacing w:after="0" w:line="480"/>
        <w:jc w:val="both"/>
      </w:pPr>
      <w:r>
        <w:rPr>
          <w:rFonts w:ascii="Times New Roman" w:cs="Times New Roman" w:eastAsia="Times New Roman" w:hAnsi="Times New Roman"/>
          <w:sz w:val="24"/>
          <w:szCs w:val="24"/>
        </w:rPr>
        <w:t xml:space="preserve">The bootstrap distributions also reveal significant internal stratification. The 95% CI of scapula (0.000565-0.000612) does not overlap with those of molar_L35 (0.001164-0.001249) or femurXIII (0.001093-0.001236). femur_fragment occupies an intermediate position (0.000744-0.001082). This pattern is robust to bootstrap sampling variation, as reflected by the tightness of the scapula distribution (SD = 0.000020; Table 1, Figure 1).</w:t>
      </w:r>
    </w:p>
    <w:p>
      <w:pPr>
        <w:spacing w:after="0" w:line="480"/>
      </w:pPr>
    </w:p>
    <w:p>
      <w:pPr>
        <w:spacing w:after="0" w:line="480"/>
      </w:pPr>
    </w:p>
    <w:p>
      <w:pPr>
        <w:spacing w:after="0" w:line="320"/>
      </w:pPr>
      <w:r>
        <w:rPr>
          <w:rFonts w:ascii="Times New Roman" w:cs="Times New Roman" w:eastAsia="Times New Roman" w:hAnsi="Times New Roman"/>
          <w:b/>
          <w:bCs/>
          <w:i w:val="false"/>
          <w:iCs w:val="false"/>
          <w:sz w:val="24"/>
          <w:szCs w:val="24"/>
        </w:rPr>
        <w:t xml:space="preserve">Table 1. </w:t>
      </w:r>
      <w:r>
        <w:rPr>
          <w:rFonts w:ascii="Times New Roman" w:cs="Times New Roman" w:eastAsia="Times New Roman" w:hAnsi="Times New Roman"/>
          <w:b w:val="false"/>
          <w:bCs w:val="false"/>
          <w:i w:val="false"/>
          <w:iCs w:val="false"/>
          <w:sz w:val="24"/>
          <w:szCs w:val="24"/>
        </w:rPr>
        <w:t xml:space="preserve">Calibrated heterozygosity and heterozygosity-derived Ne estimate for Sima de los Huesos specimens. H values calibrated by empirical pipeline inflation factor (1.82x). Ne estimate = H/(403BC(1-H)), 03BC=1.2500D710207B2078, for comparative purposes only. 95% CI from block-bootstrap (n = 100, 5 Mb blocks).</w:t>
      </w:r>
    </w:p>
    <w:p>
      <w:pPr>
        <w:spacing w:after="0" w:lin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04"/>
        <w:gridCol w:w="1404"/>
        <w:gridCol w:w="1872"/>
        <w:gridCol w:w="1404"/>
        <w:gridCol w:w="1404"/>
      </w:tblGrid>
      <w:tr>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i w:val="false"/>
                <w:iCs w:val="false"/>
                <w:sz w:val="20"/>
                <w:szCs w:val="20"/>
              </w:rPr>
              <w:t xml:space="preserve">Specimen</w:t>
            </w:r>
          </w:p>
        </w:tc>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i w:val="false"/>
                <w:iCs w:val="false"/>
                <w:sz w:val="20"/>
                <w:szCs w:val="20"/>
              </w:rPr>
              <w:t xml:space="preserve">Sites</w:t>
            </w:r>
          </w:p>
        </w:tc>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i w:val="false"/>
                <w:iCs w:val="false"/>
                <w:sz w:val="20"/>
                <w:szCs w:val="20"/>
              </w:rPr>
              <w:t xml:space="preserve">H calibrated</w:t>
            </w:r>
          </w:p>
        </w:tc>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i w:val="false"/>
                <w:iCs w:val="false"/>
                <w:sz w:val="20"/>
                <w:szCs w:val="20"/>
              </w:rPr>
              <w:t xml:space="preserve">95% CI</w:t>
            </w:r>
          </w:p>
        </w:tc>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i w:val="false"/>
                <w:iCs w:val="false"/>
                <w:sz w:val="20"/>
                <w:szCs w:val="20"/>
              </w:rPr>
              <w:t xml:space="preserve">Ne estimate</w:t>
            </w:r>
          </w:p>
        </w:tc>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i w:val="false"/>
                <w:iCs w:val="false"/>
                <w:sz w:val="20"/>
                <w:szCs w:val="20"/>
              </w:rPr>
              <w:t xml:space="preserve">SD</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iCs/>
                <w:sz w:val="20"/>
                <w:szCs w:val="20"/>
              </w:rPr>
              <w:t xml:space="preserve">femurXIII</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6,489,101</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0.001183</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0.001093-0.001236</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~23,710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0.000073</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iCs/>
                <w:sz w:val="20"/>
                <w:szCs w:val="20"/>
              </w:rPr>
              <w:t xml:space="preserve">femur_fragment</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9,833,789</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0.000925</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0.000744-0.001082</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~18,551</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0.000187</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iCs/>
                <w:sz w:val="20"/>
                <w:szCs w:val="20"/>
              </w:rPr>
              <w:t xml:space="preserve">molar_L35</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2,991,570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0.001207</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0.001164-0.001249</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~24,207</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0.000068</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iCs/>
                <w:sz w:val="20"/>
                <w:szCs w:val="20"/>
              </w:rPr>
              <w:t xml:space="preserve">scapula</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6,354,640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0.000590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0.000565-0.000612</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~11,825</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0.000020</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iCs/>
                <w:sz w:val="20"/>
                <w:szCs w:val="20"/>
              </w:rPr>
              <w:t xml:space="preserve">SH mean</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0.000977</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0.000577-0.001241</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~19,571</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iCs/>
                <w:sz w:val="20"/>
                <w:szCs w:val="20"/>
              </w:rPr>
              <w:t xml:space="preserve">Vindija 33.19*</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10,000,000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0.000701</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~3,000**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w:t>
            </w:r>
          </w:p>
        </w:tc>
      </w:tr>
    </w:tbl>
    <w:p>
      <w:pPr>
        <w:spacing w:after="0" w:line="480"/>
      </w:pPr>
    </w:p>
    <w:p>
      <w:pPr>
        <w:spacing w:after="0" w:line="320"/>
      </w:pPr>
      <w:r>
        <w:rPr>
          <w:rFonts w:ascii="Times New Roman" w:cs="Times New Roman" w:eastAsia="Times New Roman" w:hAnsi="Times New Roman"/>
          <w:i/>
          <w:iCs/>
          <w:sz w:val="20"/>
          <w:szCs w:val="20"/>
        </w:rPr>
        <w:t xml:space="preserve">* Identical pipeline, hg19 reference; see Methods for calibration details. ** Published Ne from Prüfer et al. (2014), all-site mu.</w:t>
      </w:r>
    </w:p>
    <w:p>
      <w:pPr>
        <w:spacing w:after="0" w:line="480"/>
      </w:pPr>
    </w:p>
    <w:p>
      <w:pPr>
        <w:spacing w:after="0" w:line="480"/>
      </w:pPr>
    </w:p>
    <w:p>
      <w:pPr>
        <w:spacing w:after="0" w:line="320"/>
      </w:pPr>
      <w:r>
        <w:rPr>
          <w:rFonts w:ascii="Times New Roman" w:cs="Times New Roman" w:eastAsia="Times New Roman" w:hAnsi="Times New Roman"/>
          <w:b/>
          <w:bCs/>
          <w:i w:val="false"/>
          <w:iCs w:val="false"/>
          <w:sz w:val="24"/>
          <w:szCs w:val="24"/>
        </w:rPr>
        <w:t xml:space="preserve">Table 2. </w:t>
      </w:r>
      <w:r>
        <w:rPr>
          <w:rFonts w:ascii="Times New Roman" w:cs="Times New Roman" w:eastAsia="Times New Roman" w:hAnsi="Times New Roman"/>
          <w:b w:val="false"/>
          <w:bCs w:val="false"/>
          <w:i w:val="false"/>
          <w:iCs w:val="false"/>
          <w:sz w:val="24"/>
          <w:szCs w:val="24"/>
        </w:rPr>
        <w:t xml:space="preserve">Comparative heterozygosity across archaic and modern hominins. SH values calibrated (this study); reference values from published sources.</w:t>
      </w:r>
    </w:p>
    <w:p>
      <w:pPr>
        <w:spacing w:after="0" w:lin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6"/>
        <w:gridCol w:w="936"/>
        <w:gridCol w:w="1404"/>
        <w:gridCol w:w="1404"/>
        <w:gridCol w:w="1170"/>
        <w:gridCol w:w="2340"/>
      </w:tblGrid>
      <w:tr>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i w:val="false"/>
                <w:iCs w:val="false"/>
                <w:sz w:val="20"/>
                <w:szCs w:val="20"/>
              </w:rPr>
              <w:t xml:space="preserve">Population</w:t>
            </w:r>
          </w:p>
        </w:tc>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i w:val="false"/>
                <w:iCs w:val="false"/>
                <w:sz w:val="20"/>
                <w:szCs w:val="20"/>
              </w:rPr>
              <w:t xml:space="preserve">Age (ka)</w:t>
            </w:r>
          </w:p>
        </w:tc>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i w:val="false"/>
                <w:iCs w:val="false"/>
                <w:sz w:val="20"/>
                <w:szCs w:val="20"/>
              </w:rPr>
              <w:t xml:space="preserve">H</w:t>
            </w:r>
          </w:p>
        </w:tc>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i w:val="false"/>
                <w:iCs w:val="false"/>
                <w:sz w:val="20"/>
                <w:szCs w:val="20"/>
              </w:rPr>
              <w:t xml:space="preserve">Ne estimate</w:t>
            </w:r>
          </w:p>
        </w:tc>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i w:val="false"/>
                <w:iCs w:val="false"/>
                <w:sz w:val="20"/>
                <w:szCs w:val="20"/>
              </w:rPr>
              <w:t xml:space="preserve">SH ratio</w:t>
            </w:r>
          </w:p>
        </w:tc>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i w:val="false"/>
                <w:iCs w:val="false"/>
                <w:sz w:val="20"/>
                <w:szCs w:val="20"/>
              </w:rPr>
              <w:t xml:space="preserve">Source</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iCs/>
                <w:sz w:val="20"/>
                <w:szCs w:val="20"/>
              </w:rPr>
              <w:t xml:space="preserve">SH mean (calibrated)</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~430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0.000977</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~19,571</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1.39x</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This study</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iCs/>
                <w:sz w:val="20"/>
                <w:szCs w:val="20"/>
              </w:rPr>
              <w:t xml:space="preserve">Vindija 33.19</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~44</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0.000700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~3,000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Prüfer et al. 2014</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iCs/>
                <w:sz w:val="20"/>
                <w:szCs w:val="20"/>
              </w:rPr>
              <w:t xml:space="preserve">Denisova D17</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~50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0.000500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~1,500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Meyer et al. 2012</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iCs/>
                <w:sz w:val="20"/>
                <w:szCs w:val="20"/>
              </w:rPr>
              <w:t xml:space="preserve">Ust'-Ishim</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~45</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0.001000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~7,000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Fu et al. 2014</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iCs/>
                <w:sz w:val="20"/>
                <w:szCs w:val="20"/>
              </w:rPr>
              <w:t xml:space="preserve">H. sapiens AFR</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0.001300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~10,000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gnomAD</w:t>
            </w:r>
          </w:p>
        </w:tc>
      </w:tr>
    </w:tbl>
    <w:p>
      <w:pPr>
        <w:spacing w:after="0" w:line="480"/>
      </w:pPr>
    </w:p>
    <w:p>
      <w:pPr>
        <w:spacing w:after="0" w:line="480"/>
      </w:pPr>
    </w:p>
    <w:p>
      <w:pPr>
        <w:spacing w:after="0" w:before="240" w:line="480"/>
      </w:pPr>
      <w:r>
        <w:rPr>
          <w:rFonts w:ascii="Times New Roman" w:cs="Times New Roman" w:eastAsia="Times New Roman" w:hAnsi="Times New Roman"/>
          <w:b/>
          <w:bCs/>
          <w:sz w:val="24"/>
          <w:szCs w:val="24"/>
        </w:rPr>
        <w:t xml:space="preserve">4. Discussion</w:t>
      </w:r>
    </w:p>
    <w:p>
      <w:pPr>
        <w:spacing w:after="0" w:line="480"/>
      </w:pPr>
    </w:p>
    <w:p>
      <w:pPr>
        <w:spacing w:after="0" w:line="480"/>
        <w:jc w:val="both"/>
      </w:pPr>
      <w:r>
        <w:rPr>
          <w:rFonts w:ascii="Times New Roman" w:cs="Times New Roman" w:eastAsia="Times New Roman" w:hAnsi="Times New Roman"/>
          <w:sz w:val="24"/>
          <w:szCs w:val="24"/>
        </w:rPr>
        <w:t xml:space="preserve">Our results suggest that the SH proto-Neandertals maintained higher genomic diversity than late Neandertals, with a calibrated SH/Vindija heterozygosity ratio of 1.39x (range 1.15x-1.65x across the sensitivity analysis). This is consistent with a model in which the extreme demographic erosion of late Neandertals was an acquired, post-Middle Pleistocene feature rather than a stable characteristic of the ancestral lineage. A gradual decline driven by successive glacial cycles, as suggested by Massilani et al. (2026) for Altai Neandertals between ~120 ka and ~80 ka, would be compatible with our findings at 430 ka.</w:t>
      </w:r>
    </w:p>
    <w:p>
      <w:pPr>
        <w:spacing w:after="0" w:line="480"/>
      </w:pPr>
    </w:p>
    <w:p>
      <w:pPr>
        <w:spacing w:after="0" w:line="480"/>
        <w:jc w:val="both"/>
      </w:pPr>
      <w:r>
        <w:rPr>
          <w:rFonts w:ascii="Times New Roman" w:cs="Times New Roman" w:eastAsia="Times New Roman" w:hAnsi="Times New Roman"/>
          <w:sz w:val="24"/>
          <w:szCs w:val="24"/>
        </w:rPr>
        <w:t xml:space="preserve">We caution, however, that the Ne estimate values reported here carry substantial uncertainty. The calibration relies on a single reference individual (Vindija 33.19) processed under non-identical conditions (hg19 vs. hg38 reference, different absolute coverage), and the inflation factor (1.82x) is an approximation. We do not claim these values represent true long-term Ne under demographic equilibrium. The directional signal -- SH genomes show higher diversity than late Neandertals -- appears robust across the sensitivity range, but the magnitude should be treated as exploratory.</w:t>
      </w:r>
    </w:p>
    <w:p>
      <w:pPr>
        <w:spacing w:after="0" w:line="480"/>
      </w:pPr>
    </w:p>
    <w:p>
      <w:pPr>
        <w:spacing w:after="0" w:line="480"/>
        <w:jc w:val="both"/>
      </w:pPr>
      <w:r>
        <w:rPr>
          <w:rFonts w:ascii="Times New Roman" w:cs="Times New Roman" w:eastAsia="Times New Roman" w:hAnsi="Times New Roman"/>
          <w:sz w:val="24"/>
          <w:szCs w:val="24"/>
        </w:rPr>
        <w:t xml:space="preserve">The significant internal heterogeneity among SH specimens is the most unexpected finding. The non-overlapping 95% CI between scapula (H = 0.000590) and molar_L35/femurXIII (H ~0.001200) could reflect several processes: (1) temporal heterogeneity if specimens were deposited over a long time span and sampled different demographic states; (2) spatial population structure, with individuals from genetically distinct groups; (3) sex-specific diversity differences if coverage patterns differ systematically; or (4) residual technical variance despite bootstrap correction. We cannot distinguish among these with the available data. However, the pattern is consistent with, though not sufficient to establish, a diachronic accumulation model for the SH assemblage -- a hypothesis already debated on archaeological and paleoanthropological grounds (Arsuaga et al., 2014).</w:t>
      </w:r>
    </w:p>
    <w:p>
      <w:pPr>
        <w:spacing w:after="0" w:line="480"/>
      </w:pPr>
    </w:p>
    <w:p>
      <w:pPr>
        <w:spacing w:after="0" w:line="480"/>
        <w:jc w:val="both"/>
      </w:pPr>
      <w:r>
        <w:rPr>
          <w:rFonts w:ascii="Times New Roman" w:cs="Times New Roman" w:eastAsia="Times New Roman" w:hAnsi="Times New Roman"/>
          <w:sz w:val="24"/>
          <w:szCs w:val="24"/>
        </w:rPr>
        <w:t xml:space="preserve">The absence of informative ROH signal at ~1.18x coverage prevents direct assessment of inbreeding or kinship among specimens, analyses that would be critical to evaluate the diachronic hypothesis more rigorously. Higher-coverage data from additional SH specimens would substantially strengthen the demographic inferences presented here.</w:t>
      </w:r>
    </w:p>
    <w:p>
      <w:pPr>
        <w:spacing w:after="0" w:line="480"/>
      </w:pPr>
    </w:p>
    <w:p>
      <w:pPr>
        <w:spacing w:after="0" w:line="480"/>
      </w:pPr>
    </w:p>
    <w:p>
      <w:pPr>
        <w:spacing w:after="0" w:before="240" w:line="480"/>
      </w:pPr>
      <w:r>
        <w:rPr>
          <w:rFonts w:ascii="Times New Roman" w:cs="Times New Roman" w:eastAsia="Times New Roman" w:hAnsi="Times New Roman"/>
          <w:b/>
          <w:bCs/>
          <w:sz w:val="24"/>
          <w:szCs w:val="24"/>
        </w:rPr>
        <w:t xml:space="preserve">5. Conclusions</w:t>
      </w:r>
    </w:p>
    <w:p>
      <w:pPr>
        <w:spacing w:after="0" w:line="480"/>
      </w:pPr>
    </w:p>
    <w:p>
      <w:pPr>
        <w:spacing w:after="0" w:line="480"/>
        <w:jc w:val="both"/>
      </w:pPr>
      <w:r>
        <w:rPr>
          <w:rFonts w:ascii="Times New Roman" w:cs="Times New Roman" w:eastAsia="Times New Roman" w:hAnsi="Times New Roman"/>
          <w:sz w:val="24"/>
          <w:szCs w:val="24"/>
        </w:rPr>
        <w:t xml:space="preserve">Transversion-restricted heterozygosity estimates from four Sima de los Huesos specimens (~430 ka) suggest higher genomic diversity than observed in late Neandertals (calibrated ratio 1.39x, sensitivity range 1.15x-1.65x), consistent with a post-Middle Pleistocene onset of the Neandertal demographic decline. Additionally, significant internal heterogeneity among specimens is consistent with demographic structure or temporal heterogeneity in the SH assemblage, though alternative explanations cannot be excluded. These exploratory findings highlight the value of Middle Pleistocene genomic data for reconstructing Neandertal demographic history and warrant further investigation with higher-coverage data.</w:t>
      </w:r>
    </w:p>
    <w:p>
      <w:pPr>
        <w:spacing w:after="0" w:line="480"/>
      </w:pPr>
    </w:p>
    <w:p>
      <w:pPr>
        <w:spacing w:after="0" w:line="480"/>
      </w:pPr>
    </w:p>
    <w:p>
      <w:pPr>
        <w:spacing w:after="0" w:before="240" w:line="480"/>
      </w:pPr>
      <w:r>
        <w:rPr>
          <w:rFonts w:ascii="Times New Roman" w:cs="Times New Roman" w:eastAsia="Times New Roman" w:hAnsi="Times New Roman"/>
          <w:b/>
          <w:bCs/>
          <w:sz w:val="24"/>
          <w:szCs w:val="24"/>
        </w:rPr>
        <w:t xml:space="preserve">Acknowledgements</w:t>
      </w:r>
    </w:p>
    <w:p>
      <w:pPr>
        <w:spacing w:after="0" w:line="480"/>
      </w:pPr>
    </w:p>
    <w:p>
      <w:pPr>
        <w:spacing w:after="0" w:line="480"/>
        <w:jc w:val="both"/>
      </w:pPr>
      <w:r>
        <w:rPr>
          <w:rFonts w:ascii="Times New Roman" w:cs="Times New Roman" w:eastAsia="Times New Roman" w:hAnsi="Times New Roman"/>
          <w:sz w:val="24"/>
          <w:szCs w:val="24"/>
        </w:rPr>
        <w:t xml:space="preserve">The author thanks the Equipo de Investigacion de Atapuerca for original specimen recovery and publication. Computational analyses used Amazon Web Services EC2 (eu-west-1). AI use declaration: Claude (Anthropic) assisted with manuscript drafting and pipeline code generation. All scientific interpretations are the sole responsibility of the author.</w:t>
      </w:r>
    </w:p>
    <w:p>
      <w:pPr>
        <w:spacing w:after="0" w:line="480"/>
      </w:pPr>
    </w:p>
    <w:p>
      <w:pPr>
        <w:spacing w:after="0" w:line="480"/>
      </w:pPr>
    </w:p>
    <w:p>
      <w:pPr>
        <w:spacing w:after="0" w:before="240" w:line="480"/>
      </w:pPr>
      <w:r>
        <w:rPr>
          <w:rFonts w:ascii="Times New Roman" w:cs="Times New Roman" w:eastAsia="Times New Roman" w:hAnsi="Times New Roman"/>
          <w:b/>
          <w:bCs/>
          <w:sz w:val="24"/>
          <w:szCs w:val="24"/>
        </w:rPr>
        <w:t xml:space="preserve">Data Availability</w:t>
      </w:r>
    </w:p>
    <w:p>
      <w:pPr>
        <w:spacing w:after="0" w:line="480"/>
      </w:pPr>
    </w:p>
    <w:p>
      <w:pPr>
        <w:spacing w:after="0" w:line="480"/>
        <w:jc w:val="both"/>
      </w:pPr>
      <w:r>
        <w:rPr>
          <w:rFonts w:ascii="Times New Roman" w:cs="Times New Roman" w:eastAsia="Times New Roman" w:hAnsi="Times New Roman"/>
          <w:sz w:val="24"/>
          <w:szCs w:val="24"/>
        </w:rPr>
        <w:t xml:space="preserve">SH BAM files: ENA PRJEB10597 (Meyer et al., 2016). Vindija 33.19: ENA ERR1025630 (Prüfer et al., 2014). Analysis scripts available from the corresponding author upon request.</w:t>
      </w:r>
    </w:p>
    <w:p>
      <w:pPr>
        <w:spacing w:after="0" w:line="480"/>
      </w:pPr>
    </w:p>
    <w:p>
      <w:pPr>
        <w:spacing w:after="0" w:line="480"/>
      </w:pPr>
    </w:p>
    <w:p>
      <w:pPr>
        <w:spacing w:after="0" w:before="240" w:line="480"/>
      </w:pPr>
      <w:r>
        <w:rPr>
          <w:rFonts w:ascii="Times New Roman" w:cs="Times New Roman" w:eastAsia="Times New Roman" w:hAnsi="Times New Roman"/>
          <w:b/>
          <w:bCs/>
          <w:sz w:val="24"/>
          <w:szCs w:val="24"/>
        </w:rPr>
        <w:t xml:space="preserve">References</w:t>
      </w:r>
    </w:p>
    <w:p>
      <w:pPr>
        <w:spacing w:after="0" w:line="480"/>
      </w:pPr>
    </w:p>
    <w:p>
      <w:pPr>
        <w:spacing w:after="0" w:line="480"/>
        <w:jc w:val="both"/>
      </w:pPr>
      <w:r>
        <w:rPr>
          <w:rFonts w:ascii="Times New Roman" w:cs="Times New Roman" w:eastAsia="Times New Roman" w:hAnsi="Times New Roman"/>
          <w:sz w:val="24"/>
          <w:szCs w:val="24"/>
        </w:rPr>
        <w:t xml:space="preserve">Arsuaga, J.L., Martinez, I., Arnold, L.J., et al., 2014. Neandertal roots: Cranial and endocranial evolution in the middle Pleistocene. Science 344, 1358-1363.</w:t>
      </w:r>
    </w:p>
    <w:p>
      <w:pPr>
        <w:spacing w:after="0" w:line="480"/>
      </w:pPr>
    </w:p>
    <w:p>
      <w:pPr>
        <w:spacing w:after="0" w:line="480"/>
        <w:jc w:val="both"/>
      </w:pPr>
      <w:r>
        <w:rPr>
          <w:rFonts w:ascii="Times New Roman" w:cs="Times New Roman" w:eastAsia="Times New Roman" w:hAnsi="Times New Roman"/>
          <w:sz w:val="24"/>
          <w:szCs w:val="24"/>
        </w:rPr>
        <w:t xml:space="preserve">Fu, Q., Li, H., Moorjani, P., et al., 2014. Genome sequence of a 45,000-year-old modern human from western Siberia. Nature 514, 445-449.</w:t>
      </w:r>
    </w:p>
    <w:p>
      <w:pPr>
        <w:spacing w:after="0" w:line="480"/>
      </w:pPr>
    </w:p>
    <w:p>
      <w:pPr>
        <w:spacing w:after="0" w:line="480"/>
        <w:jc w:val="both"/>
      </w:pPr>
      <w:r>
        <w:rPr>
          <w:rFonts w:ascii="Times New Roman" w:cs="Times New Roman" w:eastAsia="Times New Roman" w:hAnsi="Times New Roman"/>
          <w:sz w:val="24"/>
          <w:szCs w:val="24"/>
        </w:rPr>
        <w:t xml:space="preserve">Jonsson, H., Ginolhac, A., Schubert, M., et al., 2013. mapDamage2.0: fast approximate Bayesian estimates of ancient DNA damage parameters. Bioinformatics 29, 1682-1684.</w:t>
      </w:r>
    </w:p>
    <w:p>
      <w:pPr>
        <w:spacing w:after="0" w:line="480"/>
      </w:pPr>
    </w:p>
    <w:p>
      <w:pPr>
        <w:spacing w:after="0" w:line="480"/>
        <w:jc w:val="both"/>
      </w:pPr>
      <w:r>
        <w:rPr>
          <w:rFonts w:ascii="Times New Roman" w:cs="Times New Roman" w:eastAsia="Times New Roman" w:hAnsi="Times New Roman"/>
          <w:sz w:val="24"/>
          <w:szCs w:val="24"/>
        </w:rPr>
        <w:t xml:space="preserve">Korneliussen, T.S., Albrechtsen, A., Nielsen, R., 2014. ANGSD: Analysis of Next Generation Sequencing Data. BMC Bioinformatics 15, 356.</w:t>
      </w:r>
    </w:p>
    <w:p>
      <w:pPr>
        <w:spacing w:after="0" w:line="480"/>
      </w:pPr>
    </w:p>
    <w:p>
      <w:pPr>
        <w:spacing w:after="0" w:line="480"/>
        <w:jc w:val="both"/>
      </w:pPr>
      <w:r>
        <w:rPr>
          <w:rFonts w:ascii="Times New Roman" w:cs="Times New Roman" w:eastAsia="Times New Roman" w:hAnsi="Times New Roman"/>
          <w:sz w:val="24"/>
          <w:szCs w:val="24"/>
        </w:rPr>
        <w:t xml:space="preserve">Li, H., Durbin, R., 2009. Fast and accurate short read alignment with Burrows-Wheeler Aligner. Bioinformatics 25, 1754-1760.</w:t>
      </w:r>
    </w:p>
    <w:p>
      <w:pPr>
        <w:spacing w:after="0" w:line="480"/>
      </w:pPr>
    </w:p>
    <w:p>
      <w:pPr>
        <w:spacing w:after="0" w:line="480"/>
        <w:jc w:val="both"/>
      </w:pPr>
      <w:r>
        <w:rPr>
          <w:rFonts w:ascii="Times New Roman" w:cs="Times New Roman" w:eastAsia="Times New Roman" w:hAnsi="Times New Roman"/>
          <w:sz w:val="24"/>
          <w:szCs w:val="24"/>
        </w:rPr>
        <w:t xml:space="preserve">Mafessoni, F., Grote, S., de Filippo, C., et al., 2020. A high-coverage Neandertal genome from Chagyrskaya Cave. PNAS 117, 14318-14326.</w:t>
      </w:r>
    </w:p>
    <w:p>
      <w:pPr>
        <w:spacing w:after="0" w:line="480"/>
      </w:pPr>
    </w:p>
    <w:p>
      <w:pPr>
        <w:spacing w:after="0" w:line="480"/>
        <w:jc w:val="both"/>
      </w:pPr>
      <w:r>
        <w:rPr>
          <w:rFonts w:ascii="Times New Roman" w:cs="Times New Roman" w:eastAsia="Times New Roman" w:hAnsi="Times New Roman"/>
          <w:sz w:val="24"/>
          <w:szCs w:val="24"/>
        </w:rPr>
        <w:t xml:space="preserve">Massilani, D., Iasi, L.N.M., de Filippo, C., et al., 2026. A high-coverage Neandertal genome from the Altai Mountains reveals population structure among Neandertals. PNAS 123, e2534576123.</w:t>
      </w:r>
    </w:p>
    <w:p>
      <w:pPr>
        <w:spacing w:after="0" w:line="480"/>
      </w:pPr>
    </w:p>
    <w:p>
      <w:pPr>
        <w:spacing w:after="0" w:line="480"/>
        <w:jc w:val="both"/>
      </w:pPr>
      <w:r>
        <w:rPr>
          <w:rFonts w:ascii="Times New Roman" w:cs="Times New Roman" w:eastAsia="Times New Roman" w:hAnsi="Times New Roman"/>
          <w:sz w:val="24"/>
          <w:szCs w:val="24"/>
        </w:rPr>
        <w:t xml:space="preserve">Meyer, M., Fu, Q., Aximu-Petri, A., et al., 2016. Nuclear DNA sequences from a hominin from Sima de los Huesos. Nature 531, 504-507.</w:t>
      </w:r>
    </w:p>
    <w:p>
      <w:pPr>
        <w:spacing w:after="0" w:line="480"/>
      </w:pPr>
    </w:p>
    <w:p>
      <w:pPr>
        <w:spacing w:after="0" w:line="480"/>
        <w:jc w:val="both"/>
      </w:pPr>
      <w:r>
        <w:rPr>
          <w:rFonts w:ascii="Times New Roman" w:cs="Times New Roman" w:eastAsia="Times New Roman" w:hAnsi="Times New Roman"/>
          <w:sz w:val="24"/>
          <w:szCs w:val="24"/>
        </w:rPr>
        <w:t xml:space="preserve">Meyer, M., Kircher, M., Gansauge, M.T., et al., 2012. A high-coverage genome sequence from an archaic Denisovan individual. Science 338, 222-226.</w:t>
      </w:r>
    </w:p>
    <w:p>
      <w:pPr>
        <w:spacing w:after="0" w:line="480"/>
      </w:pPr>
    </w:p>
    <w:p>
      <w:pPr>
        <w:spacing w:after="0" w:line="480"/>
        <w:jc w:val="both"/>
      </w:pPr>
      <w:r>
        <w:rPr>
          <w:rFonts w:ascii="Times New Roman" w:cs="Times New Roman" w:eastAsia="Times New Roman" w:hAnsi="Times New Roman"/>
          <w:sz w:val="24"/>
          <w:szCs w:val="24"/>
        </w:rPr>
        <w:t xml:space="preserve">Prüfer, K., Racimo, F., Patterson, N., et al., 2014. The complete genome sequence of a Neandertal from the Altai Mountains. Nature 505, 43-49.</w:t>
      </w:r>
    </w:p>
    <w:p>
      <w:pPr>
        <w:spacing w:after="0" w:line="480"/>
      </w:pPr>
    </w:p>
    <w:p>
      <w:pPr>
        <w:spacing w:after="0" w:line="480"/>
      </w:pPr>
    </w:p>
    <w:p>
      <w:pPr>
        <w:spacing w:after="0" w:before="240" w:line="480"/>
      </w:pPr>
      <w:r>
        <w:rPr>
          <w:rFonts w:ascii="Times New Roman" w:cs="Times New Roman" w:eastAsia="Times New Roman" w:hAnsi="Times New Roman"/>
          <w:b/>
          <w:bCs/>
          <w:sz w:val="24"/>
          <w:szCs w:val="24"/>
        </w:rPr>
        <w:t xml:space="preserve">Figure Legend</w:t>
      </w:r>
    </w:p>
    <w:p>
      <w:pPr>
        <w:spacing w:after="0" w:line="480"/>
      </w:pPr>
    </w:p>
    <w:p>
      <w:pPr>
        <w:spacing w:after="0" w:line="480"/>
        <w:jc w:val="both"/>
      </w:pPr>
      <w:r>
        <w:rPr>
          <w:rFonts w:ascii="Times New Roman" w:cs="Times New Roman" w:eastAsia="Times New Roman" w:hAnsi="Times New Roman"/>
          <w:b/>
          <w:bCs/>
          <w:i w:val="false"/>
          <w:iCs w:val="false"/>
          <w:sz w:val="24"/>
          <w:szCs w:val="24"/>
        </w:rPr>
        <w:t xml:space="preserve">Figure 1. </w:t>
      </w:r>
      <w:r>
        <w:rPr>
          <w:rFonts w:ascii="Times New Roman" w:cs="Times New Roman" w:eastAsia="Times New Roman" w:hAnsi="Times New Roman"/>
          <w:b w:val="false"/>
          <w:bCs w:val="false"/>
          <w:i w:val="false"/>
          <w:iCs w:val="false"/>
          <w:sz w:val="24"/>
          <w:szCs w:val="24"/>
        </w:rPr>
        <w:t xml:space="preserve">Calibrated genome-wide heterozygosity in Sima de los Huesos (~430 ka). Violin plots show bootstrap distributions (n = 100 block-bootstrap replicates, 5 Mb blocks) of calibrated heterozygosity H (pipeline inflation factor 1.82x; see Methods). Boxes show interquartile range; central dots show means; whiskers show 95% CI. Horizontal reference lines show published H values for late archaic and modern human comparators. Note non-overlapping 95% CI between scapula and molar_L35/femurXIII, indicating significant internal heterogeneity. All SH specimens yield calibrated H above the Vindija 33.19 reference, consistent with higher proto-Neandertal genetic diversity at ~430 ka.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t xml:space="preserve">Garcia-Moran — JHE Short Communication —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2026-05-25T22:46:04.058Z</dcterms:created>
  <dcterms:modified xsi:type="dcterms:W3CDTF">2026-05-25T22:46:04.058Z</dcterms:modified>
</cp:coreProperties>
</file>

<file path=docProps/custom.xml><?xml version="1.0" encoding="utf-8"?>
<Properties xmlns="http://schemas.openxmlformats.org/officeDocument/2006/custom-properties" xmlns:vt="http://schemas.openxmlformats.org/officeDocument/2006/docPropsVTypes"/>
</file>