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61230" w14:textId="0A07B73D" w:rsidR="00065325" w:rsidRPr="002453F6" w:rsidRDefault="00065325" w:rsidP="00065325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b/>
          <w:bCs/>
          <w:kern w:val="0"/>
          <w:sz w:val="28"/>
          <w:szCs w:val="28"/>
          <w:lang w:eastAsia="es-ES_tradnl"/>
          <w14:ligatures w14:val="none"/>
        </w:rPr>
        <w:t>Informe explicativo del Análisis</w:t>
      </w:r>
      <w:r w:rsidR="003B4EAE" w:rsidRPr="002453F6">
        <w:rPr>
          <w:rFonts w:ascii="Aptos" w:eastAsia="Times New Roman" w:hAnsi="Aptos" w:cs="Times New Roman"/>
          <w:b/>
          <w:bCs/>
          <w:kern w:val="0"/>
          <w:sz w:val="28"/>
          <w:szCs w:val="28"/>
          <w:lang w:eastAsia="es-ES_tradnl"/>
          <w14:ligatures w14:val="none"/>
        </w:rPr>
        <w:br/>
      </w:r>
      <w:r w:rsidR="003B4EAE" w:rsidRPr="002453F6">
        <w:rPr>
          <w:rFonts w:ascii="Aptos" w:eastAsia="Times New Roman" w:hAnsi="Aptos" w:cs="Times New Roman"/>
          <w:b/>
          <w:bCs/>
          <w:kern w:val="0"/>
          <w:sz w:val="28"/>
          <w:szCs w:val="28"/>
          <w:lang w:eastAsia="es-ES_tradnl"/>
          <w14:ligatures w14:val="none"/>
        </w:rPr>
        <w:br/>
        <w:t xml:space="preserve">Ventas de Aguacates en </w:t>
      </w:r>
      <w:r w:rsidR="002453F6" w:rsidRPr="002453F6">
        <w:rPr>
          <w:rFonts w:ascii="Aptos" w:eastAsia="Times New Roman" w:hAnsi="Aptos" w:cs="Times New Roman"/>
          <w:b/>
          <w:bCs/>
          <w:kern w:val="0"/>
          <w:sz w:val="28"/>
          <w:szCs w:val="28"/>
          <w:lang w:eastAsia="es-ES_tradnl"/>
          <w14:ligatures w14:val="none"/>
        </w:rPr>
        <w:t>U.S.A</w:t>
      </w:r>
      <w:r w:rsidR="003B4EAE" w:rsidRPr="002453F6">
        <w:rPr>
          <w:rFonts w:ascii="Aptos" w:eastAsia="Times New Roman" w:hAnsi="Aptos" w:cs="Times New Roman"/>
          <w:b/>
          <w:bCs/>
          <w:kern w:val="0"/>
          <w:sz w:val="28"/>
          <w:szCs w:val="28"/>
          <w:lang w:eastAsia="es-ES_tradnl"/>
          <w14:ligatures w14:val="none"/>
        </w:rPr>
        <w:t xml:space="preserve"> entre los años 2015 y 2018.</w:t>
      </w: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br/>
      </w: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br/>
        <w:t>Introducción</w:t>
      </w:r>
    </w:p>
    <w:p w14:paraId="7B147F65" w14:textId="77777777" w:rsidR="00065325" w:rsidRPr="002453F6" w:rsidRDefault="00065325" w:rsidP="000653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>Este análisis presenta las ventas de aguacates en Estados Unidos entre los años 2015 y 2018, basado en datos organizados por región, tipo de aguacate (convencional u orgánico), volumen vendido y precio promedio. Los principales objetivos del análisis incluyen identificar las regiones con mayor desempeño, las tendencias en precios y ventas, y los tipos de aguacates más vendidos.</w:t>
      </w:r>
    </w:p>
    <w:p w14:paraId="5C683C3A" w14:textId="2633999B" w:rsidR="00065325" w:rsidRPr="002453F6" w:rsidRDefault="00065325" w:rsidP="00065325">
      <w:pPr>
        <w:spacing w:after="0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</w:p>
    <w:p w14:paraId="25DB64B3" w14:textId="77777777" w:rsidR="00065325" w:rsidRPr="002453F6" w:rsidRDefault="00065325" w:rsidP="00065325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1. Métricas clave</w:t>
      </w:r>
    </w:p>
    <w:p w14:paraId="6CB2E285" w14:textId="77777777" w:rsidR="00065325" w:rsidRPr="002453F6" w:rsidRDefault="00065325" w:rsidP="000653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Precio promedio (USD):</w:t>
      </w: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$1.41.</w:t>
      </w:r>
    </w:p>
    <w:p w14:paraId="25A8EAB3" w14:textId="77777777" w:rsidR="00065325" w:rsidRPr="002453F6" w:rsidRDefault="00065325" w:rsidP="000653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Precio mínimo y máximo (USD):</w:t>
      </w: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$0.44 y $3.25 respectivamente.</w:t>
      </w:r>
    </w:p>
    <w:p w14:paraId="5C409B89" w14:textId="77777777" w:rsidR="00065325" w:rsidRPr="002453F6" w:rsidRDefault="00065325" w:rsidP="000653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proofErr w:type="gramStart"/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Total</w:t>
      </w:r>
      <w:proofErr w:type="gramEnd"/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 xml:space="preserve"> de ventas en 3 años (millones de libras):</w:t>
      </w: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11,150 millones.</w:t>
      </w:r>
    </w:p>
    <w:p w14:paraId="359BADB0" w14:textId="77777777" w:rsidR="00065325" w:rsidRPr="002453F6" w:rsidRDefault="00065325" w:rsidP="000653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Región con mayores ventas:</w:t>
      </w: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California, con 782.3 millones de libras vendidas.</w:t>
      </w:r>
    </w:p>
    <w:p w14:paraId="30630764" w14:textId="77777777" w:rsidR="00065325" w:rsidRPr="002453F6" w:rsidRDefault="00065325" w:rsidP="000653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>Estas métricas destacan la importancia de California como la región líder en el mercado de aguacates y reflejan una significativa diferencia entre los precios mínimos y máximos en el período analizado.</w:t>
      </w:r>
    </w:p>
    <w:p w14:paraId="621F419F" w14:textId="314B060B" w:rsidR="00065325" w:rsidRPr="002453F6" w:rsidRDefault="00065325" w:rsidP="00065325">
      <w:pPr>
        <w:spacing w:after="0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</w:p>
    <w:p w14:paraId="642556BD" w14:textId="77777777" w:rsidR="00065325" w:rsidRPr="002453F6" w:rsidRDefault="00065325" w:rsidP="00065325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2. Ventas totales por región</w:t>
      </w:r>
    </w:p>
    <w:p w14:paraId="077D72AC" w14:textId="77777777" w:rsidR="00065325" w:rsidRPr="002453F6" w:rsidRDefault="00065325" w:rsidP="000653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 xml:space="preserve">California lidera las ventas, seguida por las regiones del West y </w:t>
      </w:r>
      <w:proofErr w:type="spellStart"/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Southeast</w:t>
      </w:r>
      <w:proofErr w:type="spellEnd"/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.</w:t>
      </w:r>
    </w:p>
    <w:p w14:paraId="72A4D413" w14:textId="77777777" w:rsidR="00065325" w:rsidRPr="002453F6" w:rsidRDefault="00065325" w:rsidP="000653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>Las regiones con menores ventas incluyen Albany, Syracuse y Roanoke, que contribuyen marginalmente al volumen total.</w:t>
      </w:r>
    </w:p>
    <w:p w14:paraId="3868C175" w14:textId="77777777" w:rsidR="00065325" w:rsidRPr="002453F6" w:rsidRDefault="00065325" w:rsidP="000653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>El gráfico confirma que las regiones costeras y del sur son los principales mercados de aguacates, probablemente debido a la alta demanda y las condiciones climáticas favorables.</w:t>
      </w:r>
    </w:p>
    <w:p w14:paraId="25D2765A" w14:textId="6AD2BA89" w:rsidR="00065325" w:rsidRPr="002453F6" w:rsidRDefault="00065325" w:rsidP="00065325">
      <w:pPr>
        <w:spacing w:after="0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</w:p>
    <w:p w14:paraId="1613342A" w14:textId="77777777" w:rsidR="00065325" w:rsidRPr="002453F6" w:rsidRDefault="00065325" w:rsidP="00065325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3. Comparativa por tipo de bolsa y región</w:t>
      </w:r>
    </w:p>
    <w:p w14:paraId="79C4DE16" w14:textId="77777777" w:rsidR="00065325" w:rsidRPr="002453F6" w:rsidRDefault="00065325" w:rsidP="000653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Las </w:t>
      </w: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grandes bolsas</w:t>
      </w: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(</w:t>
      </w:r>
      <w:proofErr w:type="spellStart"/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>Large</w:t>
      </w:r>
      <w:proofErr w:type="spellEnd"/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Bags) dominan las ventas en las regiones de mayor desempeño como California y Great </w:t>
      </w:r>
      <w:proofErr w:type="spellStart"/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>Lakes</w:t>
      </w:r>
      <w:proofErr w:type="spellEnd"/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>.</w:t>
      </w:r>
    </w:p>
    <w:p w14:paraId="1088DFFD" w14:textId="77777777" w:rsidR="00065325" w:rsidRPr="002453F6" w:rsidRDefault="00065325" w:rsidP="000653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Peores regiones en ventas:</w:t>
      </w: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Albany y Syracuse muestran cifras bajas en todos los tipos de bolsas.</w:t>
      </w:r>
    </w:p>
    <w:p w14:paraId="6E05B942" w14:textId="77777777" w:rsidR="00065325" w:rsidRPr="002453F6" w:rsidRDefault="00065325" w:rsidP="000653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lastRenderedPageBreak/>
        <w:t>Esta distribución indica que las bolsas más grandes son preferidas en las regiones con mayor volumen, reflejando un patrón de consumo enfocado en compras a granel.</w:t>
      </w:r>
    </w:p>
    <w:p w14:paraId="6CA11CB3" w14:textId="6AC789D4" w:rsidR="00065325" w:rsidRPr="002453F6" w:rsidRDefault="00065325" w:rsidP="00065325">
      <w:pPr>
        <w:spacing w:after="0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</w:p>
    <w:p w14:paraId="7C2FE60E" w14:textId="77777777" w:rsidR="00065325" w:rsidRPr="002453F6" w:rsidRDefault="00065325" w:rsidP="00065325">
      <w:pPr>
        <w:spacing w:after="0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</w:p>
    <w:p w14:paraId="5C2A4052" w14:textId="77777777" w:rsidR="00065325" w:rsidRPr="002453F6" w:rsidRDefault="00065325" w:rsidP="00065325">
      <w:pPr>
        <w:spacing w:after="0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</w:p>
    <w:p w14:paraId="7DCADED0" w14:textId="77777777" w:rsidR="00065325" w:rsidRPr="002453F6" w:rsidRDefault="00065325" w:rsidP="00065325">
      <w:pPr>
        <w:spacing w:after="0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</w:p>
    <w:p w14:paraId="7BD6E573" w14:textId="77777777" w:rsidR="00065325" w:rsidRPr="002453F6" w:rsidRDefault="00065325" w:rsidP="00065325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4. Tendencias de precio promedio por tipo</w:t>
      </w:r>
    </w:p>
    <w:p w14:paraId="7E2D78AA" w14:textId="77777777" w:rsidR="00065325" w:rsidRPr="002453F6" w:rsidRDefault="00065325" w:rsidP="000653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Los </w:t>
      </w: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aguacates orgánicos</w:t>
      </w: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muestran un precio promedio más alto, alcanzando su pico en $1.74 en 2018.</w:t>
      </w:r>
    </w:p>
    <w:p w14:paraId="317B16C2" w14:textId="77777777" w:rsidR="00065325" w:rsidRPr="002453F6" w:rsidRDefault="00065325" w:rsidP="000653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Los </w:t>
      </w: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aguacates convencionales</w:t>
      </w: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tienen precios más estables y consistentemente menores que los orgánicos.</w:t>
      </w:r>
    </w:p>
    <w:p w14:paraId="5A24D3D6" w14:textId="77777777" w:rsidR="00065325" w:rsidRPr="002453F6" w:rsidRDefault="00065325" w:rsidP="000653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>El aumento de precios en los aguacates orgánicos podría reflejar una mayor percepción de calidad o un incremento en la demanda de productos más saludables.</w:t>
      </w:r>
    </w:p>
    <w:p w14:paraId="51DF9DE5" w14:textId="2300A506" w:rsidR="00065325" w:rsidRPr="002453F6" w:rsidRDefault="00065325" w:rsidP="00065325">
      <w:pPr>
        <w:spacing w:after="0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</w:p>
    <w:p w14:paraId="0AB93C47" w14:textId="77777777" w:rsidR="00065325" w:rsidRPr="002453F6" w:rsidRDefault="00065325" w:rsidP="00065325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5. Tipo de aguacate más vendido por año</w:t>
      </w:r>
    </w:p>
    <w:p w14:paraId="7F4A1A59" w14:textId="77777777" w:rsidR="00065325" w:rsidRPr="002453F6" w:rsidRDefault="00065325" w:rsidP="000653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En cada año del análisis (2015-2018), los </w:t>
      </w: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aguacates convencionales</w:t>
      </w: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representan la mayor parte del volumen vendido.</w:t>
      </w:r>
    </w:p>
    <w:p w14:paraId="58E1CF20" w14:textId="77777777" w:rsidR="00065325" w:rsidRPr="002453F6" w:rsidRDefault="00065325" w:rsidP="000653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>Aunque los aguacates orgánicos muestran un crecimiento en ventas, su participación sigue siendo menor frente a los convencionales.</w:t>
      </w:r>
    </w:p>
    <w:p w14:paraId="69D3F622" w14:textId="77777777" w:rsidR="00065325" w:rsidRPr="002453F6" w:rsidRDefault="00065325" w:rsidP="000653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>Esto sugiere que el mercado de aguacates orgánicos está en crecimiento, pero los convencionales aún dominan debido a su menor precio y accesibilidad.</w:t>
      </w:r>
    </w:p>
    <w:p w14:paraId="03966BB1" w14:textId="06346483" w:rsidR="00065325" w:rsidRPr="002453F6" w:rsidRDefault="00065325" w:rsidP="00065325">
      <w:pPr>
        <w:spacing w:after="0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</w:p>
    <w:p w14:paraId="3CAE2A03" w14:textId="77777777" w:rsidR="00065325" w:rsidRPr="002453F6" w:rsidRDefault="00065325" w:rsidP="00065325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6. Mejores y peores regiones en ventas</w:t>
      </w:r>
    </w:p>
    <w:p w14:paraId="008E7E39" w14:textId="77777777" w:rsidR="00065325" w:rsidRPr="002453F6" w:rsidRDefault="00065325" w:rsidP="000653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Top 10 regiones (mejores):</w:t>
      </w:r>
    </w:p>
    <w:p w14:paraId="758D0EF8" w14:textId="77777777" w:rsidR="00065325" w:rsidRPr="002453F6" w:rsidRDefault="00065325" w:rsidP="000653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California y Great </w:t>
      </w:r>
      <w:proofErr w:type="spellStart"/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>Lakes</w:t>
      </w:r>
      <w:proofErr w:type="spellEnd"/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tienen un rendimiento destacado, respaldado por su tamaño de mercado.</w:t>
      </w:r>
    </w:p>
    <w:p w14:paraId="3F843E20" w14:textId="6BB1270F" w:rsidR="00065325" w:rsidRPr="002453F6" w:rsidRDefault="00065325" w:rsidP="000653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>Las regiones metropolitanas como New York y Los Ángeles también muestran volúmenes altos, destacando el impacto de las grandes ciudades.</w:t>
      </w:r>
    </w:p>
    <w:p w14:paraId="4F502492" w14:textId="77777777" w:rsidR="00065325" w:rsidRPr="002453F6" w:rsidRDefault="00065325" w:rsidP="000653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Peores 10 regiones:</w:t>
      </w:r>
    </w:p>
    <w:p w14:paraId="5097D1CD" w14:textId="20AC7768" w:rsidR="00065325" w:rsidRPr="002453F6" w:rsidRDefault="00065325" w:rsidP="000653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>Las regiones con menor población y demanda, como Albany y Syracuse, tienen cifras significativamente bajas.</w:t>
      </w:r>
    </w:p>
    <w:p w14:paraId="6B587A5D" w14:textId="771A1FDE" w:rsidR="00065325" w:rsidRPr="002453F6" w:rsidRDefault="00065325" w:rsidP="00065325">
      <w:pPr>
        <w:spacing w:after="0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</w:p>
    <w:p w14:paraId="3C5B3A45" w14:textId="77777777" w:rsidR="00065325" w:rsidRPr="002453F6" w:rsidRDefault="00065325" w:rsidP="00065325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lastRenderedPageBreak/>
        <w:t>Conclusiones</w:t>
      </w:r>
    </w:p>
    <w:p w14:paraId="12D745E8" w14:textId="42A2742C" w:rsidR="00065325" w:rsidRPr="002453F6" w:rsidRDefault="00065325" w:rsidP="000653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California</w:t>
      </w: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es, sin lugar a duda, la región líder en ventas de aguacates, contribuyendo de forma significativa al volumen total.</w:t>
      </w:r>
    </w:p>
    <w:p w14:paraId="67A18AC7" w14:textId="77777777" w:rsidR="00065325" w:rsidRPr="002453F6" w:rsidRDefault="00065325" w:rsidP="000653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Los </w:t>
      </w: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aguacates convencionales</w:t>
      </w: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siguen dominando el mercado, aunque los orgánicos están ganando terreno, respaldados por precios más altos y un interés creciente en productos saludables.</w:t>
      </w:r>
    </w:p>
    <w:p w14:paraId="3B55E8A8" w14:textId="77777777" w:rsidR="00065325" w:rsidRPr="002453F6" w:rsidRDefault="00065325" w:rsidP="000653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>Las tendencias de precios sugieren que el mercado de aguacates está evolucionando, con incrementos constantes en los precios de los aguacates orgánicos.</w:t>
      </w:r>
    </w:p>
    <w:p w14:paraId="381EECDD" w14:textId="3204A426" w:rsidR="00065325" w:rsidRPr="002453F6" w:rsidRDefault="00065325" w:rsidP="000653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>Las bolsas grandes son las preferidas en regiones con altos volúmenes de ventas, mientras que las bolsas pequeñas tienen mayor impacto en regiones de menor rendimiento.</w:t>
      </w:r>
    </w:p>
    <w:p w14:paraId="1571BA0C" w14:textId="77777777" w:rsidR="00065325" w:rsidRPr="002453F6" w:rsidRDefault="00065325" w:rsidP="00065325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Recomendaciones</w:t>
      </w:r>
    </w:p>
    <w:p w14:paraId="46FB1714" w14:textId="77777777" w:rsidR="00065325" w:rsidRPr="002453F6" w:rsidRDefault="00065325" w:rsidP="000653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Foco en las regiones de menor rendimiento:</w:t>
      </w: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Diseñar estrategias de marketing y distribución para mejorar el alcance en regiones como Albany y Syracuse.</w:t>
      </w:r>
    </w:p>
    <w:p w14:paraId="29B1475D" w14:textId="77777777" w:rsidR="00065325" w:rsidRPr="002453F6" w:rsidRDefault="00065325" w:rsidP="000653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Inversión en aguacates orgánicos:</w:t>
      </w: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Aprovechar el crecimiento del mercado orgánico mediante promociones y campañas dirigidas a consumidores conscientes de la salud.</w:t>
      </w:r>
    </w:p>
    <w:p w14:paraId="110B803F" w14:textId="77777777" w:rsidR="00065325" w:rsidRPr="002453F6" w:rsidRDefault="00065325" w:rsidP="000653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Optimización de empaques:</w:t>
      </w: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Expandir la oferta de grandes bolsas en las regiones con mayores volúmenes para capitalizar el patrón de consumo a granel.</w:t>
      </w:r>
    </w:p>
    <w:p w14:paraId="4711C5F9" w14:textId="31515B3F" w:rsidR="003B4EAE" w:rsidRPr="002453F6" w:rsidRDefault="003B4EAE" w:rsidP="003B4EA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 xml:space="preserve">Autores </w:t>
      </w:r>
      <w:r w:rsidR="002453F6"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y Referencias</w:t>
      </w:r>
    </w:p>
    <w:p w14:paraId="7639825E" w14:textId="0295E140" w:rsidR="00065325" w:rsidRPr="002453F6" w:rsidRDefault="002453F6">
      <w:pPr>
        <w:rPr>
          <w:rFonts w:ascii="Aptos" w:hAnsi="Aptos"/>
        </w:rPr>
      </w:pPr>
      <w:r w:rsidRPr="002453F6">
        <w:rPr>
          <w:rFonts w:ascii="Aptos" w:hAnsi="Aptos"/>
        </w:rPr>
        <w:t>Base de datos tomada de:</w:t>
      </w:r>
      <w:r w:rsidRPr="002453F6">
        <w:rPr>
          <w:rFonts w:ascii="Aptos" w:hAnsi="Aptos"/>
        </w:rPr>
        <w:br/>
      </w:r>
      <w:hyperlink r:id="rId7" w:history="1">
        <w:r w:rsidRPr="002453F6">
          <w:rPr>
            <w:rStyle w:val="Hipervnculo"/>
            <w:rFonts w:ascii="Aptos" w:hAnsi="Aptos"/>
          </w:rPr>
          <w:t>https://www.kaggle.com/datasets/pedroisrael/avocado-sales</w:t>
        </w:r>
      </w:hyperlink>
    </w:p>
    <w:p w14:paraId="20197606" w14:textId="1D7EED14" w:rsidR="002453F6" w:rsidRPr="002453F6" w:rsidRDefault="002453F6">
      <w:pPr>
        <w:rPr>
          <w:rFonts w:ascii="Aptos" w:hAnsi="Aptos"/>
        </w:rPr>
      </w:pPr>
      <w:r w:rsidRPr="002453F6">
        <w:rPr>
          <w:rFonts w:ascii="Aptos" w:hAnsi="Aptos"/>
        </w:rPr>
        <w:t>Autor</w:t>
      </w:r>
      <w:r w:rsidRPr="002453F6">
        <w:rPr>
          <w:rFonts w:ascii="Aptos" w:hAnsi="Aptos"/>
        </w:rPr>
        <w:br/>
        <w:t>-Pedro Israel</w:t>
      </w:r>
    </w:p>
    <w:sectPr w:rsidR="002453F6" w:rsidRPr="002453F6"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212012" w14:textId="77777777" w:rsidR="000B14AF" w:rsidRDefault="000B14AF" w:rsidP="002453F6">
      <w:pPr>
        <w:spacing w:after="0" w:line="240" w:lineRule="auto"/>
      </w:pPr>
      <w:r>
        <w:separator/>
      </w:r>
    </w:p>
  </w:endnote>
  <w:endnote w:type="continuationSeparator" w:id="0">
    <w:p w14:paraId="5D31C4B1" w14:textId="77777777" w:rsidR="000B14AF" w:rsidRDefault="000B14AF" w:rsidP="00245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698829457"/>
      <w:docPartObj>
        <w:docPartGallery w:val="Page Numbers (Bottom of Page)"/>
        <w:docPartUnique/>
      </w:docPartObj>
    </w:sdtPr>
    <w:sdtContent>
      <w:p w14:paraId="2C7DD4CD" w14:textId="702DA0A6" w:rsidR="002453F6" w:rsidRDefault="002453F6" w:rsidP="007D032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F9D316C" w14:textId="77777777" w:rsidR="002453F6" w:rsidRDefault="002453F6" w:rsidP="002453F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64239612"/>
      <w:docPartObj>
        <w:docPartGallery w:val="Page Numbers (Bottom of Page)"/>
        <w:docPartUnique/>
      </w:docPartObj>
    </w:sdtPr>
    <w:sdtContent>
      <w:p w14:paraId="0F76152E" w14:textId="38BEA964" w:rsidR="002453F6" w:rsidRDefault="002453F6" w:rsidP="007D032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0357FD7" w14:textId="77777777" w:rsidR="002453F6" w:rsidRDefault="002453F6" w:rsidP="002453F6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3A083A" w14:textId="77777777" w:rsidR="000B14AF" w:rsidRDefault="000B14AF" w:rsidP="002453F6">
      <w:pPr>
        <w:spacing w:after="0" w:line="240" w:lineRule="auto"/>
      </w:pPr>
      <w:r>
        <w:separator/>
      </w:r>
    </w:p>
  </w:footnote>
  <w:footnote w:type="continuationSeparator" w:id="0">
    <w:p w14:paraId="4D312642" w14:textId="77777777" w:rsidR="000B14AF" w:rsidRDefault="000B14AF" w:rsidP="00245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009FF"/>
    <w:multiLevelType w:val="multilevel"/>
    <w:tmpl w:val="45B21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D51A3C"/>
    <w:multiLevelType w:val="multilevel"/>
    <w:tmpl w:val="550C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260B8"/>
    <w:multiLevelType w:val="multilevel"/>
    <w:tmpl w:val="812C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109AC"/>
    <w:multiLevelType w:val="multilevel"/>
    <w:tmpl w:val="662E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5C6E9C"/>
    <w:multiLevelType w:val="multilevel"/>
    <w:tmpl w:val="64CC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8246C2"/>
    <w:multiLevelType w:val="multilevel"/>
    <w:tmpl w:val="A002D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6000ED"/>
    <w:multiLevelType w:val="multilevel"/>
    <w:tmpl w:val="6734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1D6212"/>
    <w:multiLevelType w:val="multilevel"/>
    <w:tmpl w:val="0D74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2361505">
    <w:abstractNumId w:val="3"/>
  </w:num>
  <w:num w:numId="2" w16cid:durableId="584848616">
    <w:abstractNumId w:val="2"/>
  </w:num>
  <w:num w:numId="3" w16cid:durableId="1598824661">
    <w:abstractNumId w:val="1"/>
  </w:num>
  <w:num w:numId="4" w16cid:durableId="1466966073">
    <w:abstractNumId w:val="4"/>
  </w:num>
  <w:num w:numId="5" w16cid:durableId="253713269">
    <w:abstractNumId w:val="6"/>
  </w:num>
  <w:num w:numId="6" w16cid:durableId="175658181">
    <w:abstractNumId w:val="7"/>
  </w:num>
  <w:num w:numId="7" w16cid:durableId="138690393">
    <w:abstractNumId w:val="5"/>
  </w:num>
  <w:num w:numId="8" w16cid:durableId="681510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25"/>
    <w:rsid w:val="00065325"/>
    <w:rsid w:val="000B14AF"/>
    <w:rsid w:val="002453F6"/>
    <w:rsid w:val="003B4EAE"/>
    <w:rsid w:val="00DB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30B1C"/>
  <w15:chartTrackingRefBased/>
  <w15:docId w15:val="{55C45F91-3D25-AF41-8B77-AE992936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5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5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5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65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5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5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5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5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5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5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5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5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0653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53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53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53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53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53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5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5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5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5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5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53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53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53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5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53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5325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0653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5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styleId="Hipervnculo">
    <w:name w:val="Hyperlink"/>
    <w:basedOn w:val="Fuentedeprrafopredeter"/>
    <w:uiPriority w:val="99"/>
    <w:unhideWhenUsed/>
    <w:rsid w:val="002453F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53F6"/>
    <w:rPr>
      <w:color w:val="605E5C"/>
      <w:shd w:val="clear" w:color="auto" w:fill="E1DFDD"/>
    </w:rPr>
  </w:style>
  <w:style w:type="paragraph" w:styleId="Piedepgina">
    <w:name w:val="footer"/>
    <w:basedOn w:val="Normal"/>
    <w:link w:val="PiedepginaCar"/>
    <w:uiPriority w:val="99"/>
    <w:unhideWhenUsed/>
    <w:rsid w:val="00245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53F6"/>
  </w:style>
  <w:style w:type="character" w:styleId="Nmerodepgina">
    <w:name w:val="page number"/>
    <w:basedOn w:val="Fuentedeprrafopredeter"/>
    <w:uiPriority w:val="99"/>
    <w:semiHidden/>
    <w:unhideWhenUsed/>
    <w:rsid w:val="00245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pedroisrael/avocado-sa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670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hernandez</dc:creator>
  <cp:keywords/>
  <dc:description/>
  <cp:lastModifiedBy>emilio hernandez</cp:lastModifiedBy>
  <cp:revision>2</cp:revision>
  <dcterms:created xsi:type="dcterms:W3CDTF">2025-02-03T06:05:00Z</dcterms:created>
  <dcterms:modified xsi:type="dcterms:W3CDTF">2025-02-03T08:58:00Z</dcterms:modified>
</cp:coreProperties>
</file>