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CB20" w14:textId="77777777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INFORME DE ANÁLISIS DE VENTAS</w:t>
      </w:r>
    </w:p>
    <w:p w14:paraId="22D08AC1" w14:textId="2E30ADBA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Introducción</w:t>
      </w:r>
      <w:r>
        <w:t xml:space="preserve"> </w:t>
      </w:r>
      <w:r>
        <w:br/>
        <w:t xml:space="preserve">Este informe presenta un análisis detallado de las ventas y pedidos registrados en el período evaluado. A continuación, se destacan los principales hallazgos sobre las categorías de productos más vendidas, el total de ventas, el número de pedidos y el </w:t>
      </w:r>
      <w:proofErr w:type="gramStart"/>
      <w:r>
        <w:t>ticket</w:t>
      </w:r>
      <w:proofErr w:type="gramEnd"/>
      <w:r>
        <w:t xml:space="preserve"> promedio.</w:t>
      </w:r>
    </w:p>
    <w:p w14:paraId="3567D8F8" w14:textId="484EB396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Ventas por Categoría de Producto</w:t>
      </w:r>
      <w:r>
        <w:t xml:space="preserve"> </w:t>
      </w:r>
      <w:r>
        <w:br/>
        <w:t xml:space="preserve">Se analizaron las ventas por categoría de producto, identificando las cinco categorías más vendidas. La categoría con mayores ingresos fue </w:t>
      </w:r>
      <w:r>
        <w:rPr>
          <w:rStyle w:val="Textoennegrita"/>
          <w:rFonts w:eastAsiaTheme="majorEastAsia"/>
        </w:rPr>
        <w:t>"</w:t>
      </w:r>
      <w:proofErr w:type="spellStart"/>
      <w:r>
        <w:rPr>
          <w:rStyle w:val="Textoennegrita"/>
          <w:rFonts w:eastAsiaTheme="majorEastAsia"/>
        </w:rPr>
        <w:t>bel</w:t>
      </w:r>
      <w:r w:rsidR="00117F39">
        <w:rPr>
          <w:rStyle w:val="Textoennegrita"/>
          <w:rFonts w:eastAsiaTheme="majorEastAsia"/>
        </w:rPr>
        <w:t>l</w:t>
      </w:r>
      <w:r>
        <w:rPr>
          <w:rStyle w:val="Textoennegrita"/>
          <w:rFonts w:eastAsiaTheme="majorEastAsia"/>
        </w:rPr>
        <w:t>eza_sa</w:t>
      </w:r>
      <w:r w:rsidR="00117F39">
        <w:rPr>
          <w:rStyle w:val="Textoennegrita"/>
          <w:rFonts w:eastAsiaTheme="majorEastAsia"/>
        </w:rPr>
        <w:t>lud</w:t>
      </w:r>
      <w:proofErr w:type="spellEnd"/>
      <w:r>
        <w:rPr>
          <w:rStyle w:val="Textoennegrita"/>
          <w:rFonts w:eastAsiaTheme="majorEastAsia"/>
        </w:rPr>
        <w:t>"</w:t>
      </w:r>
      <w:r>
        <w:t xml:space="preserve">, con un total de </w:t>
      </w:r>
      <w:r>
        <w:rPr>
          <w:rStyle w:val="Textoennegrita"/>
          <w:rFonts w:eastAsiaTheme="majorEastAsia"/>
        </w:rPr>
        <w:t>1,297,355.8</w:t>
      </w:r>
      <w:r>
        <w:t xml:space="preserve"> en ventas. Este dato indica una fuerte preferencia de los consumidores por productos de esta categoría.</w:t>
      </w:r>
    </w:p>
    <w:p w14:paraId="7E49E702" w14:textId="6F692882" w:rsidR="00793C25" w:rsidRDefault="00117F39" w:rsidP="00793C25">
      <w:pPr>
        <w:pStyle w:val="NormalWeb"/>
      </w:pPr>
      <w:r>
        <w:rPr>
          <w:noProof/>
        </w:rPr>
        <w:drawing>
          <wp:inline distT="0" distB="0" distL="0" distR="0" wp14:anchorId="3043F98A" wp14:editId="52B3CEED">
            <wp:extent cx="5228887" cy="3329832"/>
            <wp:effectExtent l="76200" t="76200" r="118110" b="112395"/>
            <wp:docPr id="5657255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01542C-03D3-CA4A-8218-7474D3901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FB672D" w14:textId="6DC8715B" w:rsidR="00793C25" w:rsidRDefault="00793C25" w:rsidP="00793C25">
      <w:pPr>
        <w:pStyle w:val="NormalWeb"/>
      </w:pPr>
      <w:proofErr w:type="gramStart"/>
      <w:r>
        <w:rPr>
          <w:rStyle w:val="Textoennegrita"/>
          <w:rFonts w:eastAsiaTheme="majorEastAsia"/>
        </w:rPr>
        <w:t>Total</w:t>
      </w:r>
      <w:proofErr w:type="gramEnd"/>
      <w:r>
        <w:rPr>
          <w:rStyle w:val="Textoennegrita"/>
          <w:rFonts w:eastAsiaTheme="majorEastAsia"/>
        </w:rPr>
        <w:t xml:space="preserve"> de Ventas</w:t>
      </w:r>
      <w:r>
        <w:rPr>
          <w:rStyle w:val="Textoennegrita"/>
          <w:rFonts w:eastAsiaTheme="majorEastAsia"/>
        </w:rPr>
        <w:br/>
      </w:r>
      <w:r>
        <w:t xml:space="preserve">El total de ventas registrado durante el período analizado asciende a </w:t>
      </w:r>
      <w:r>
        <w:rPr>
          <w:rStyle w:val="Textoennegrita"/>
          <w:rFonts w:eastAsiaTheme="majorEastAsia"/>
        </w:rPr>
        <w:t>14,209,115.34</w:t>
      </w:r>
      <w:r>
        <w:t>. Esta cifra representa el desempeño general del negocio en términos de ingresos y permite evaluar tendencias de crecimiento.</w:t>
      </w:r>
    </w:p>
    <w:p w14:paraId="26B21552" w14:textId="0452BB28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Número de Pedidos</w:t>
      </w:r>
      <w:r>
        <w:t xml:space="preserve"> </w:t>
      </w:r>
      <w:r w:rsidR="00117F39">
        <w:br/>
      </w:r>
      <w:r>
        <w:t xml:space="preserve">Se contabilizaron </w:t>
      </w:r>
      <w:r>
        <w:rPr>
          <w:rStyle w:val="Textoennegrita"/>
          <w:rFonts w:eastAsiaTheme="majorEastAsia"/>
        </w:rPr>
        <w:t>117,601 pedidos</w:t>
      </w:r>
      <w:r>
        <w:t>, lo que refleja el volumen de transacciones realizadas durante el período. Este dato es fundamental para medir la actividad del negocio y la demanda del mercado.</w:t>
      </w:r>
    </w:p>
    <w:p w14:paraId="18E8BAE4" w14:textId="74E2AC9E" w:rsidR="00793C25" w:rsidRDefault="00793C25" w:rsidP="00793C25">
      <w:pPr>
        <w:pStyle w:val="NormalWeb"/>
      </w:pPr>
      <w:proofErr w:type="gramStart"/>
      <w:r>
        <w:rPr>
          <w:rStyle w:val="Textoennegrita"/>
          <w:rFonts w:eastAsiaTheme="majorEastAsia"/>
        </w:rPr>
        <w:t>Ticket</w:t>
      </w:r>
      <w:proofErr w:type="gramEnd"/>
      <w:r>
        <w:rPr>
          <w:rStyle w:val="Textoennegrita"/>
          <w:rFonts w:eastAsiaTheme="majorEastAsia"/>
        </w:rPr>
        <w:t xml:space="preserve"> Promedio</w:t>
      </w:r>
      <w:r>
        <w:t xml:space="preserve"> </w:t>
      </w:r>
      <w:r w:rsidR="00117F39">
        <w:br/>
      </w:r>
      <w:r>
        <w:t xml:space="preserve">El ticket promedio por pedido se calculó en </w:t>
      </w:r>
      <w:r>
        <w:rPr>
          <w:rStyle w:val="Textoennegrita"/>
          <w:rFonts w:eastAsiaTheme="majorEastAsia"/>
        </w:rPr>
        <w:t>120.82</w:t>
      </w:r>
      <w:r>
        <w:t>. Este indicador es clave para comprender el valor promedio de cada compra y puede ser utilizado para estrategias de aumento del gasto por cliente.</w:t>
      </w:r>
    </w:p>
    <w:p w14:paraId="5C6941FA" w14:textId="77777777" w:rsidR="00117F39" w:rsidRDefault="00117F39" w:rsidP="00793C25">
      <w:pPr>
        <w:pStyle w:val="NormalWeb"/>
      </w:pPr>
    </w:p>
    <w:p w14:paraId="390D85A0" w14:textId="74D681C2" w:rsidR="00117F39" w:rsidRDefault="00117F39" w:rsidP="00793C25">
      <w:pPr>
        <w:pStyle w:val="NormalWeb"/>
      </w:pPr>
      <w:r>
        <w:rPr>
          <w:b/>
          <w:bCs/>
        </w:rPr>
        <w:t>Métodos de Pago</w:t>
      </w:r>
      <w:r>
        <w:rPr>
          <w:b/>
          <w:bCs/>
        </w:rPr>
        <w:br/>
      </w:r>
      <w:r>
        <w:t>El método de pago más usado o preferido es la tarjeta de crédito, mostrando igualmente el porcentaje de uso entre los diferentes métodos de pago.</w:t>
      </w:r>
    </w:p>
    <w:p w14:paraId="51DACD6B" w14:textId="783EF3AD" w:rsidR="00793C25" w:rsidRDefault="00117F39" w:rsidP="00793C25">
      <w:pPr>
        <w:pStyle w:val="NormalWeb"/>
      </w:pPr>
      <w:r>
        <w:rPr>
          <w:noProof/>
        </w:rPr>
        <w:drawing>
          <wp:inline distT="0" distB="0" distL="0" distR="0" wp14:anchorId="32AAD585" wp14:editId="4F8BDB94">
            <wp:extent cx="4893945" cy="2667000"/>
            <wp:effectExtent l="76200" t="76200" r="122555" b="127000"/>
            <wp:docPr id="2519675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B637414-2E73-0446-9C43-BBB4BCBD8E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5676F9" w14:textId="22173F24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Categorías Menos Vendidas</w:t>
      </w:r>
      <w:r>
        <w:t xml:space="preserve"> </w:t>
      </w:r>
      <w:r w:rsidR="00117F39">
        <w:br/>
      </w:r>
      <w:r>
        <w:t>Se identificaron las cinco categorías con menores ventas:</w:t>
      </w:r>
    </w:p>
    <w:p w14:paraId="35402D9C" w14:textId="77777777" w:rsidR="00793C25" w:rsidRDefault="00793C25" w:rsidP="00793C25">
      <w:pPr>
        <w:pStyle w:val="NormalWeb"/>
      </w:pPr>
      <w:r>
        <w:t>Estos datos pueden indicar oportunidades de mejora en la promoción y visibilidad de estos productos.</w:t>
      </w:r>
    </w:p>
    <w:p w14:paraId="4398DCBB" w14:textId="768F3450" w:rsidR="00793C25" w:rsidRDefault="00117F39" w:rsidP="00793C25">
      <w:pPr>
        <w:pStyle w:val="NormalWeb"/>
      </w:pPr>
      <w:r>
        <w:rPr>
          <w:noProof/>
        </w:rPr>
        <w:drawing>
          <wp:inline distT="0" distB="0" distL="0" distR="0" wp14:anchorId="6ED6CBC2" wp14:editId="571635CF">
            <wp:extent cx="5190787" cy="3417381"/>
            <wp:effectExtent l="76200" t="76200" r="130810" b="126365"/>
            <wp:docPr id="2123987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5676481-CEF7-3C40-988A-E0960435E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0A49A1" w14:textId="16C3EA9B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lastRenderedPageBreak/>
        <w:t>Tendencia de Ventas</w:t>
      </w:r>
      <w:r>
        <w:t xml:space="preserve"> A continuación, se muestra la tendencia de ventas mensuales observada en el período evaluado, notamos un incremento significativo entre el 2016 y 2018, comparando los mismos periodos entre los años analizados.</w:t>
      </w:r>
    </w:p>
    <w:p w14:paraId="10FB100E" w14:textId="7BA0797B" w:rsidR="00793C25" w:rsidRDefault="00117F39" w:rsidP="00793C25">
      <w:pPr>
        <w:pStyle w:val="NormalWeb"/>
      </w:pPr>
      <w:r>
        <w:rPr>
          <w:noProof/>
        </w:rPr>
        <w:drawing>
          <wp:inline distT="0" distB="0" distL="0" distR="0" wp14:anchorId="5661678E" wp14:editId="0A1B2CA1">
            <wp:extent cx="5400040" cy="3236595"/>
            <wp:effectExtent l="76200" t="76200" r="124460" b="128905"/>
            <wp:docPr id="6439644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A923F8F-9FA3-3148-8F62-D366CF117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17AA8A" w14:textId="77777777" w:rsidR="00793C25" w:rsidRDefault="00793C25" w:rsidP="00793C25">
      <w:pPr>
        <w:pStyle w:val="NormalWeb"/>
      </w:pPr>
    </w:p>
    <w:p w14:paraId="1B93197D" w14:textId="7AC26E86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Conclusión</w:t>
      </w:r>
      <w:r>
        <w:t xml:space="preserve"> El análisis muestra un desempeño sólido en ventas, con una categoría destacada y un número significativo de pedidos. La información obtenida puede ser utilizada para optimizar estrategias de venta, mejorar la segmentación de productos y aumentar el </w:t>
      </w:r>
      <w:proofErr w:type="gramStart"/>
      <w:r>
        <w:t>ticket</w:t>
      </w:r>
      <w:proofErr w:type="gramEnd"/>
      <w:r>
        <w:t xml:space="preserve"> promedio a través de campañas específicas.</w:t>
      </w:r>
    </w:p>
    <w:p w14:paraId="67FA6CAB" w14:textId="76A27B32" w:rsidR="00793C25" w:rsidRDefault="00793C25" w:rsidP="00793C25">
      <w:pPr>
        <w:pStyle w:val="NormalWeb"/>
      </w:pPr>
      <w:r>
        <w:t>También para tener en cuenta los productos que pueden tener más atención con los clientes, si realizamos atractivas campañas de marketing con promociones y descuentos, permitiendo mejorar las ventas finales y en consecuencia el aumento en demanda de estos productos.</w:t>
      </w:r>
    </w:p>
    <w:p w14:paraId="75459112" w14:textId="6A218EB7" w:rsidR="00793C25" w:rsidRDefault="00793C25" w:rsidP="00793C25">
      <w:pPr>
        <w:pStyle w:val="NormalWeb"/>
      </w:pPr>
      <w:r>
        <w:rPr>
          <w:rStyle w:val="Textoennegrita"/>
          <w:rFonts w:eastAsiaTheme="majorEastAsia"/>
        </w:rPr>
        <w:t>Recomendaciones</w:t>
      </w:r>
    </w:p>
    <w:p w14:paraId="08DB5661" w14:textId="1C83C23B" w:rsidR="00793C25" w:rsidRDefault="00793C25" w:rsidP="00793C25">
      <w:pPr>
        <w:pStyle w:val="NormalWeb"/>
        <w:numPr>
          <w:ilvl w:val="0"/>
          <w:numId w:val="2"/>
        </w:numPr>
      </w:pPr>
      <w:r>
        <w:t>Fortalecer las estrategias de marketing para la categoría "</w:t>
      </w:r>
      <w:proofErr w:type="spellStart"/>
      <w:r>
        <w:t>bel</w:t>
      </w:r>
      <w:r w:rsidR="00117F39">
        <w:t>l</w:t>
      </w:r>
      <w:r>
        <w:t>eza_s</w:t>
      </w:r>
      <w:r w:rsidR="00117F39">
        <w:t>alud</w:t>
      </w:r>
      <w:proofErr w:type="spellEnd"/>
      <w:r>
        <w:t>", ya que presenta el mayor volumen de ventas.</w:t>
      </w:r>
    </w:p>
    <w:p w14:paraId="618D7E02" w14:textId="77777777" w:rsidR="00793C25" w:rsidRDefault="00793C25" w:rsidP="00793C25">
      <w:pPr>
        <w:pStyle w:val="NormalWeb"/>
        <w:numPr>
          <w:ilvl w:val="0"/>
          <w:numId w:val="2"/>
        </w:numPr>
      </w:pPr>
      <w:r>
        <w:t xml:space="preserve">Implementar promociones y descuentos para incrementar el </w:t>
      </w:r>
      <w:proofErr w:type="gramStart"/>
      <w:r>
        <w:t>ticket</w:t>
      </w:r>
      <w:proofErr w:type="gramEnd"/>
      <w:r>
        <w:t xml:space="preserve"> promedio.</w:t>
      </w:r>
    </w:p>
    <w:p w14:paraId="0C280A77" w14:textId="77777777" w:rsidR="00793C25" w:rsidRDefault="00793C25" w:rsidP="00793C25">
      <w:pPr>
        <w:pStyle w:val="NormalWeb"/>
        <w:numPr>
          <w:ilvl w:val="0"/>
          <w:numId w:val="2"/>
        </w:numPr>
      </w:pPr>
      <w:r>
        <w:t>Evaluar tendencias en otras categorías para diversificar la oferta de productos.</w:t>
      </w:r>
    </w:p>
    <w:p w14:paraId="772634BE" w14:textId="77777777" w:rsidR="00793C25" w:rsidRDefault="00793C25" w:rsidP="00793C25">
      <w:pPr>
        <w:pStyle w:val="NormalWeb"/>
        <w:numPr>
          <w:ilvl w:val="0"/>
          <w:numId w:val="2"/>
        </w:numPr>
      </w:pPr>
      <w:r>
        <w:t>Optimizar la experiencia del cliente para fomentar la recompra y la fidelización.</w:t>
      </w:r>
    </w:p>
    <w:p w14:paraId="0FC26219" w14:textId="77777777" w:rsidR="00793C25" w:rsidRDefault="00793C25" w:rsidP="00793C25">
      <w:pPr>
        <w:pStyle w:val="NormalWeb"/>
        <w:numPr>
          <w:ilvl w:val="0"/>
          <w:numId w:val="2"/>
        </w:numPr>
      </w:pPr>
      <w:r>
        <w:t>Analizar las razones detrás de las bajas ventas en las categorías menos vendidas y desarrollar estrategias para mejorar su desempeño, como mayor visibilidad en la tienda y campañas promocionales específicas.</w:t>
      </w:r>
    </w:p>
    <w:p w14:paraId="53F14892" w14:textId="77777777" w:rsidR="00CD5678" w:rsidRDefault="00CD5678" w:rsidP="00CD5678">
      <w:pPr>
        <w:pStyle w:val="NormalWeb"/>
      </w:pPr>
    </w:p>
    <w:p w14:paraId="583F7BF4" w14:textId="7741B26A" w:rsidR="00CD5678" w:rsidRPr="00CD5678" w:rsidRDefault="00CD5678" w:rsidP="00CD5678">
      <w:pPr>
        <w:pStyle w:val="NormalWeb"/>
        <w:rPr>
          <w:b/>
          <w:bCs/>
        </w:rPr>
      </w:pPr>
      <w:r w:rsidRPr="00CD5678">
        <w:rPr>
          <w:b/>
          <w:bCs/>
        </w:rPr>
        <w:lastRenderedPageBreak/>
        <w:t>Autores y Referencias</w:t>
      </w:r>
    </w:p>
    <w:p w14:paraId="19DFF8D9" w14:textId="16B35F47" w:rsidR="00CD5678" w:rsidRDefault="00CD5678" w:rsidP="00CD5678">
      <w:r>
        <w:t>Base de datos:</w:t>
      </w:r>
      <w:r>
        <w:t xml:space="preserve"> </w:t>
      </w:r>
      <w:r w:rsidRPr="00CD5678">
        <w:t>https://www.kaggle.com/datasets/olistbr/brazilian-ecommerce/data</w:t>
      </w:r>
      <w:r>
        <w:t xml:space="preserve"> </w:t>
      </w:r>
    </w:p>
    <w:p w14:paraId="2254A8B2" w14:textId="405A6CA2" w:rsidR="00A57201" w:rsidRDefault="00CD5678" w:rsidP="00CD5678">
      <w:r>
        <w:t xml:space="preserve">Autores: Francisco </w:t>
      </w:r>
      <w:proofErr w:type="spellStart"/>
      <w:r>
        <w:t>Magioli</w:t>
      </w:r>
      <w:proofErr w:type="spellEnd"/>
      <w:r>
        <w:t xml:space="preserve"> · Leo </w:t>
      </w:r>
      <w:proofErr w:type="spellStart"/>
      <w:r>
        <w:t>Dabague</w:t>
      </w:r>
      <w:proofErr w:type="spellEnd"/>
      <w:r>
        <w:t xml:space="preserve"> ·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Sionek</w:t>
      </w:r>
      <w:proofErr w:type="spellEnd"/>
    </w:p>
    <w:sectPr w:rsidR="00A5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A34"/>
    <w:multiLevelType w:val="multilevel"/>
    <w:tmpl w:val="FED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40B0E"/>
    <w:multiLevelType w:val="multilevel"/>
    <w:tmpl w:val="95A0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605A2"/>
    <w:multiLevelType w:val="hybridMultilevel"/>
    <w:tmpl w:val="971ED7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3030">
    <w:abstractNumId w:val="1"/>
  </w:num>
  <w:num w:numId="2" w16cid:durableId="1564870441">
    <w:abstractNumId w:val="0"/>
  </w:num>
  <w:num w:numId="3" w16cid:durableId="60018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25"/>
    <w:rsid w:val="00117F39"/>
    <w:rsid w:val="00180587"/>
    <w:rsid w:val="0073440E"/>
    <w:rsid w:val="00793C25"/>
    <w:rsid w:val="00A57201"/>
    <w:rsid w:val="00B50F7F"/>
    <w:rsid w:val="00CD5678"/>
    <w:rsid w:val="00DB683A"/>
    <w:rsid w:val="00DD6B47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A610E"/>
  <w15:chartTrackingRefBased/>
  <w15:docId w15:val="{DCF7A564-3313-E84C-A576-0AAA7CC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C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793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milio/Documents/datos_fin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milio/Documents/datos_finale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milio/Documents/datos_fin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milio/Documents/datos_fin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[datos_finales.xlsx]analisis!productos_mas_vendidos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_tradnl" b="1">
              <a:solidFill>
                <a:schemeClr val="tx1"/>
              </a:solidFill>
            </a:endParaRPr>
          </a:p>
          <a:p>
            <a:pPr>
              <a:defRPr b="1">
                <a:solidFill>
                  <a:schemeClr val="tx1"/>
                </a:solidFill>
              </a:defRPr>
            </a:pPr>
            <a:r>
              <a:rPr lang="es-ES_tradnl" b="1">
                <a:solidFill>
                  <a:schemeClr val="tx1"/>
                </a:solidFill>
              </a:rPr>
              <a:t>Categorias</a:t>
            </a:r>
            <a:r>
              <a:rPr lang="es-ES_tradnl" b="1" baseline="0">
                <a:solidFill>
                  <a:schemeClr val="tx1"/>
                </a:solidFill>
              </a:rPr>
              <a:t> mas vendidas</a:t>
            </a:r>
            <a:endParaRPr lang="es-ES_tradnl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ivotFmts>
      <c:pivotFmt>
        <c:idx val="0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analisis!$E$5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21C2"/>
            </a:solidFill>
            <a:ln cap="rnd">
              <a:solidFill>
                <a:schemeClr val="accent1"/>
              </a:solidFill>
            </a:ln>
            <a:effectLst/>
          </c:spPr>
          <c:invertIfNegative val="0"/>
          <c:cat>
            <c:strRef>
              <c:f>analisis!$D$6:$D$11</c:f>
              <c:strCache>
                <c:ptCount val="5"/>
                <c:pt idx="0">
                  <c:v>belleza_salud</c:v>
                </c:pt>
                <c:pt idx="1">
                  <c:v>reloges_presentes</c:v>
                </c:pt>
                <c:pt idx="2">
                  <c:v>cama_mesa_baño</c:v>
                </c:pt>
                <c:pt idx="3">
                  <c:v>deporte_lazer</c:v>
                </c:pt>
                <c:pt idx="4">
                  <c:v>informatica_accesorios</c:v>
                </c:pt>
              </c:strCache>
            </c:strRef>
          </c:cat>
          <c:val>
            <c:numRef>
              <c:f>analisis!$E$6:$E$11</c:f>
              <c:numCache>
                <c:formatCode>#,##0.00\ [$BRL]</c:formatCode>
                <c:ptCount val="5"/>
                <c:pt idx="0">
                  <c:v>1297355.799999956</c:v>
                </c:pt>
                <c:pt idx="1">
                  <c:v>1253143.2999999935</c:v>
                </c:pt>
                <c:pt idx="2">
                  <c:v>1092551.0200000512</c:v>
                </c:pt>
                <c:pt idx="3">
                  <c:v>1023996.3400000454</c:v>
                </c:pt>
                <c:pt idx="4">
                  <c:v>942277.57000003732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F3-3742-99F8-6197D8C30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641888"/>
        <c:axId val="170643600"/>
      </c:barChart>
      <c:catAx>
        <c:axId val="17064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0643600"/>
        <c:crosses val="autoZero"/>
        <c:auto val="1"/>
        <c:lblAlgn val="ctr"/>
        <c:lblOffset val="100"/>
        <c:noMultiLvlLbl val="0"/>
      </c:catAx>
      <c:valAx>
        <c:axId val="17064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13000"/>
                </a:schemeClr>
              </a:solidFill>
              <a:round/>
            </a:ln>
            <a:effectLst/>
          </c:spPr>
        </c:majorGridlines>
        <c:numFmt formatCode="#,##0.00\ [$BRL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0641888"/>
        <c:crosses val="autoZero"/>
        <c:crossBetween val="between"/>
        <c:dispUnits>
          <c:builtInUnit val="millions"/>
          <c:dispUnitsLbl>
            <c:layout>
              <c:manualLayout>
                <c:xMode val="edge"/>
                <c:yMode val="edge"/>
                <c:x val="2.1126760563380281E-2"/>
                <c:y val="0.35731481481481486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rnd" cmpd="sng" algn="ctr">
      <a:solidFill>
        <a:schemeClr val="accent1"/>
      </a:solidFill>
      <a:round/>
    </a:ln>
    <a:effectLst>
      <a:glow rad="63500">
        <a:schemeClr val="accent1">
          <a:alpha val="40000"/>
        </a:schemeClr>
      </a:glow>
      <a:outerShdw blurRad="50800" dist="38100" dir="2700000" algn="tl" rotWithShape="0">
        <a:schemeClr val="tx2">
          <a:alpha val="40000"/>
        </a:schemeClr>
      </a:outerShdw>
      <a:softEdge rad="12700"/>
    </a:effectLst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[datos_finales.xlsx]analisis!Metodos_pago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21C2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011893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9.7674418604651189E-2"/>
              <c:y val="-0.14814814814814814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rgbClr val="0096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2790697674418611E-2"/>
              <c:y val="5.092592592592592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7A81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9767441860465115E-2"/>
              <c:y val="0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rgbClr val="D883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4.8837209302325581E-2"/>
              <c:y val="-4.6296296296296294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rgbClr val="0021C2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rgbClr val="0096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2790697674418611E-2"/>
              <c:y val="5.092592592592592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rgbClr val="011893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9.7674418604651189E-2"/>
              <c:y val="-0.14814814814814814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rgbClr val="D883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4.8837209302325581E-2"/>
              <c:y val="-4.6296296296296294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7A81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9767441860465115E-2"/>
              <c:y val="0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021C2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0096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2790697674418611E-2"/>
              <c:y val="5.092592592592592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rgbClr val="011893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9.7674418604651189E-2"/>
              <c:y val="-0.14814814814814814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rgbClr val="D883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4.8837209302325581E-2"/>
              <c:y val="-4.6296296296296294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rgbClr val="7A81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9767441860465115E-2"/>
              <c:y val="0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rgbClr val="0021C2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rgbClr val="0096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2790697674418611E-2"/>
              <c:y val="5.092592592592592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11893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9.7674418604651189E-2"/>
              <c:y val="-0.14814814814814814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8"/>
        <c:spPr>
          <a:solidFill>
            <a:srgbClr val="D883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4.8837209302325581E-2"/>
              <c:y val="-4.6296296296296294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rgbClr val="7A81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9767441860465115E-2"/>
              <c:y val="0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0"/>
        <c:spPr>
          <a:solidFill>
            <a:srgbClr val="0021C2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1"/>
        <c:spPr>
          <a:solidFill>
            <a:srgbClr val="0096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2790697674418611E-2"/>
              <c:y val="5.092592592592592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2"/>
        <c:spPr>
          <a:solidFill>
            <a:srgbClr val="011893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9.7674418604651189E-2"/>
              <c:y val="-0.14814814814814814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D883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-4.8837209302325581E-2"/>
              <c:y val="-4.6296296296296294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7A81FF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layout>
            <c:manualLayout>
              <c:x val="6.9767441860465115E-2"/>
              <c:y val="0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analisis!$E$38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21C2"/>
            </a:solidFill>
          </c:spPr>
          <c:dPt>
            <c:idx val="0"/>
            <c:bubble3D val="0"/>
            <c:spPr>
              <a:solidFill>
                <a:srgbClr val="0096FF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BF82-044C-B09B-F19706CD4937}"/>
              </c:ext>
            </c:extLst>
          </c:dPt>
          <c:dPt>
            <c:idx val="1"/>
            <c:bubble3D val="0"/>
            <c:spPr>
              <a:solidFill>
                <a:srgbClr val="011893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BF82-044C-B09B-F19706CD4937}"/>
              </c:ext>
            </c:extLst>
          </c:dPt>
          <c:dPt>
            <c:idx val="2"/>
            <c:bubble3D val="0"/>
            <c:spPr>
              <a:solidFill>
                <a:srgbClr val="D883FF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BF82-044C-B09B-F19706CD4937}"/>
              </c:ext>
            </c:extLst>
          </c:dPt>
          <c:dPt>
            <c:idx val="3"/>
            <c:bubble3D val="0"/>
            <c:spPr>
              <a:solidFill>
                <a:srgbClr val="7A81FF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BF82-044C-B09B-F19706CD4937}"/>
              </c:ext>
            </c:extLst>
          </c:dPt>
          <c:dLbls>
            <c:dLbl>
              <c:idx val="0"/>
              <c:layout>
                <c:manualLayout>
                  <c:x val="6.2790697674418611E-2"/>
                  <c:y val="5.092592592592592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F82-044C-B09B-F19706CD4937}"/>
                </c:ext>
              </c:extLst>
            </c:dLbl>
            <c:dLbl>
              <c:idx val="1"/>
              <c:layout>
                <c:manualLayout>
                  <c:x val="-9.7674418604651189E-2"/>
                  <c:y val="-0.1481481481481481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F82-044C-B09B-F19706CD4937}"/>
                </c:ext>
              </c:extLst>
            </c:dLbl>
            <c:dLbl>
              <c:idx val="2"/>
              <c:layout>
                <c:manualLayout>
                  <c:x val="-4.8837209302325581E-2"/>
                  <c:y val="-4.629629629629629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F82-044C-B09B-F19706CD4937}"/>
                </c:ext>
              </c:extLst>
            </c:dLbl>
            <c:dLbl>
              <c:idx val="3"/>
              <c:layout>
                <c:manualLayout>
                  <c:x val="6.9767441860465115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F82-044C-B09B-F19706CD4937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analisis!$D$39:$D$43</c:f>
              <c:strCache>
                <c:ptCount val="4"/>
                <c:pt idx="0">
                  <c:v>boleto</c:v>
                </c:pt>
                <c:pt idx="1">
                  <c:v>tarjeta_credito</c:v>
                </c:pt>
                <c:pt idx="2">
                  <c:v>tarjeta_debito</c:v>
                </c:pt>
                <c:pt idx="3">
                  <c:v>voucher</c:v>
                </c:pt>
              </c:strCache>
            </c:strRef>
          </c:cat>
          <c:val>
            <c:numRef>
              <c:f>analisis!$E$39:$E$43</c:f>
              <c:numCache>
                <c:formatCode>#,##0.00\ [$BRL]</c:formatCode>
                <c:ptCount val="4"/>
                <c:pt idx="0">
                  <c:v>4059699.5999999237</c:v>
                </c:pt>
                <c:pt idx="1">
                  <c:v>15589028.219999297</c:v>
                </c:pt>
                <c:pt idx="2">
                  <c:v>253533.8599999999</c:v>
                </c:pt>
                <c:pt idx="3">
                  <c:v>405873.03000000055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F82-044C-B09B-F19706CD4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840303973631201"/>
          <c:y val="0.18120261009040534"/>
          <c:w val="0.16764347189159495"/>
          <c:h val="0.621529965004374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>
      <a:solidFill>
        <a:schemeClr val="tx2"/>
      </a:solidFill>
    </a:ln>
    <a:effectLst>
      <a:glow rad="63500">
        <a:schemeClr val="accent1">
          <a:satMod val="175000"/>
          <a:alpha val="40000"/>
        </a:schemeClr>
      </a:glow>
      <a:outerShdw blurRad="50800" dist="38100" dir="2700000" algn="tl" rotWithShape="0">
        <a:schemeClr val="tx2">
          <a:alpha val="40000"/>
        </a:schemeClr>
      </a:outerShdw>
    </a:effectLst>
  </c:spPr>
  <c:txPr>
    <a:bodyPr/>
    <a:lstStyle/>
    <a:p>
      <a:pPr>
        <a:defRPr/>
      </a:pPr>
      <a:endParaRPr lang="es-E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[datos_finales.xlsx]analisis!productos_menos_vendidos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Categorias</a:t>
            </a:r>
            <a:r>
              <a:rPr lang="en-US" b="1" baseline="0">
                <a:solidFill>
                  <a:schemeClr val="tx1"/>
                </a:solidFill>
              </a:rPr>
              <a:t> menos vendidas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1C2"/>
          </a:solidFill>
          <a:ln cap="rnd">
            <a:solidFill>
              <a:schemeClr val="accen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analisis!$E$18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21C2"/>
            </a:solidFill>
            <a:ln cap="rnd">
              <a:solidFill>
                <a:schemeClr val="accent1"/>
              </a:solidFill>
            </a:ln>
            <a:effectLst/>
          </c:spPr>
          <c:invertIfNegative val="0"/>
          <c:cat>
            <c:strRef>
              <c:f>analisis!$D$19:$D$24</c:f>
              <c:strCache>
                <c:ptCount val="5"/>
                <c:pt idx="0">
                  <c:v>seguros_y_servicos</c:v>
                </c:pt>
                <c:pt idx="1">
                  <c:v>fashion_ropa_infantil_juvenil</c:v>
                </c:pt>
                <c:pt idx="2">
                  <c:v>cds_dvds_musica</c:v>
                </c:pt>
                <c:pt idx="3">
                  <c:v>casa__muebles_2</c:v>
                </c:pt>
                <c:pt idx="4">
                  <c:v>flores</c:v>
                </c:pt>
              </c:strCache>
            </c:strRef>
          </c:cat>
          <c:val>
            <c:numRef>
              <c:f>analisis!$E$19:$E$24</c:f>
              <c:numCache>
                <c:formatCode>#,##0.00\ [$BRL]</c:formatCode>
                <c:ptCount val="5"/>
                <c:pt idx="0">
                  <c:v>283.28999999999996</c:v>
                </c:pt>
                <c:pt idx="1">
                  <c:v>569.85</c:v>
                </c:pt>
                <c:pt idx="2">
                  <c:v>730</c:v>
                </c:pt>
                <c:pt idx="3">
                  <c:v>773.16999999999962</c:v>
                </c:pt>
                <c:pt idx="4">
                  <c:v>1110.04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A1-7E41-94A0-E89145717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858432"/>
        <c:axId val="335860144"/>
      </c:barChart>
      <c:catAx>
        <c:axId val="33585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860144"/>
        <c:crosses val="autoZero"/>
        <c:auto val="1"/>
        <c:lblAlgn val="ctr"/>
        <c:lblOffset val="100"/>
        <c:noMultiLvlLbl val="0"/>
      </c:catAx>
      <c:valAx>
        <c:axId val="33586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16000"/>
                </a:schemeClr>
              </a:solidFill>
              <a:round/>
            </a:ln>
            <a:effectLst/>
          </c:spPr>
        </c:majorGridlines>
        <c:numFmt formatCode="#,##0.00\ [$BRL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858432"/>
        <c:crossesAt val="1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accent1"/>
      </a:solidFill>
      <a:round/>
    </a:ln>
    <a:effectLst>
      <a:glow rad="63500">
        <a:schemeClr val="accent1">
          <a:satMod val="175000"/>
          <a:alpha val="40000"/>
        </a:schemeClr>
      </a:glow>
      <a:outerShdw blurRad="50800" dist="38100" dir="2700000" algn="tl" rotWithShape="0">
        <a:schemeClr val="tx2">
          <a:alpha val="40000"/>
        </a:schemeClr>
      </a:outerShdw>
    </a:effectLst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[datos_finales.xlsx]analisis!TablaDinámica1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Tendencia</a:t>
            </a:r>
            <a:r>
              <a:rPr lang="en-US" b="1" baseline="0">
                <a:solidFill>
                  <a:schemeClr val="tx1"/>
                </a:solidFill>
              </a:rPr>
              <a:t> de ventas trimestrales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4.6995066600199122E-2"/>
              <c:y val="-1.590105785856572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no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4.6995066600199122E-2"/>
              <c:y val="-1.590105785856572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no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4.6995066600199122E-2"/>
              <c:y val="-1.590105785856572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no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4.6995066600199122E-2"/>
              <c:y val="-1.590105785856572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no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4.6995066600199122E-2"/>
              <c:y val="-1.590105785856572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noAutofit/>
            </a:bodyPr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1.9650651643459815E-2"/>
          <c:y val="9.2774306565091016E-2"/>
          <c:w val="0.96069869671308039"/>
          <c:h val="0.74573255821815743"/>
        </c:manualLayout>
      </c:layout>
      <c:lineChart>
        <c:grouping val="standard"/>
        <c:varyColors val="0"/>
        <c:ser>
          <c:idx val="0"/>
          <c:order val="0"/>
          <c:tx>
            <c:strRef>
              <c:f>analisis!$E$65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spPr>
              <a:ln w="2857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EFF-B54A-BE31-FBEBBAFCF68F}"/>
              </c:ext>
            </c:extLst>
          </c:dPt>
          <c:dLbls>
            <c:dLbl>
              <c:idx val="7"/>
              <c:layout>
                <c:manualLayout>
                  <c:x val="-4.6995066600199122E-2"/>
                  <c:y val="-1.590105785856572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DEFF-B54A-BE31-FBEBBAFCF6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analisis!$D$66:$D$78</c:f>
              <c:multiLvlStrCache>
                <c:ptCount val="9"/>
                <c:lvl>
                  <c:pt idx="0">
                    <c:v>Trim.3</c:v>
                  </c:pt>
                  <c:pt idx="1">
                    <c:v>Trim.4</c:v>
                  </c:pt>
                  <c:pt idx="2">
                    <c:v>Trim.1</c:v>
                  </c:pt>
                  <c:pt idx="3">
                    <c:v>Trim.2</c:v>
                  </c:pt>
                  <c:pt idx="4">
                    <c:v>Trim.3</c:v>
                  </c:pt>
                  <c:pt idx="5">
                    <c:v>Trim.4</c:v>
                  </c:pt>
                  <c:pt idx="6">
                    <c:v>Trim.1</c:v>
                  </c:pt>
                  <c:pt idx="7">
                    <c:v>Trim.2</c:v>
                  </c:pt>
                  <c:pt idx="8">
                    <c:v>Trim.3</c:v>
                  </c:pt>
                </c:lvl>
                <c:lvl>
                  <c:pt idx="0">
                    <c:v>2016</c:v>
                  </c:pt>
                  <c:pt idx="2">
                    <c:v>2017</c:v>
                  </c:pt>
                  <c:pt idx="6">
                    <c:v>2018</c:v>
                  </c:pt>
                </c:lvl>
              </c:multiLvlStrCache>
            </c:multiLvlStrRef>
          </c:cat>
          <c:val>
            <c:numRef>
              <c:f>analisis!$E$66:$E$78</c:f>
              <c:numCache>
                <c:formatCode>#,##0.00\ [$BRL]</c:formatCode>
                <c:ptCount val="9"/>
                <c:pt idx="0">
                  <c:v>132.39000000000001</c:v>
                </c:pt>
                <c:pt idx="1">
                  <c:v>50953.130000000187</c:v>
                </c:pt>
                <c:pt idx="2">
                  <c:v>785842.89000002586</c:v>
                </c:pt>
                <c:pt idx="3">
                  <c:v>1390156.4799999294</c:v>
                </c:pt>
                <c:pt idx="4">
                  <c:v>1797302.8999997834</c:v>
                </c:pt>
                <c:pt idx="5">
                  <c:v>2510591.5899997866</c:v>
                </c:pt>
                <c:pt idx="6">
                  <c:v>2893187.2599997749</c:v>
                </c:pt>
                <c:pt idx="7">
                  <c:v>2970843.8399998229</c:v>
                </c:pt>
                <c:pt idx="8">
                  <c:v>1810104.8599998262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FF-B54A-BE31-FBEBBAFCF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6312767"/>
        <c:axId val="878996911"/>
      </c:lineChart>
      <c:catAx>
        <c:axId val="131631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78996911"/>
        <c:crosses val="autoZero"/>
        <c:auto val="1"/>
        <c:lblAlgn val="ctr"/>
        <c:lblOffset val="100"/>
        <c:noMultiLvlLbl val="0"/>
      </c:catAx>
      <c:valAx>
        <c:axId val="87899691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[$BRL]" sourceLinked="1"/>
        <c:majorTickMark val="none"/>
        <c:minorTickMark val="none"/>
        <c:tickLblPos val="nextTo"/>
        <c:crossAx val="1316312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2"/>
      </a:solidFill>
      <a:round/>
    </a:ln>
    <a:effectLst>
      <a:glow rad="63500">
        <a:schemeClr val="accent1">
          <a:satMod val="175000"/>
          <a:alpha val="40000"/>
        </a:schemeClr>
      </a:glow>
      <a:outerShdw blurRad="50800" dist="38100" dir="2700000" algn="tl" rotWithShape="0">
        <a:schemeClr val="tx2">
          <a:alpha val="40000"/>
        </a:schemeClr>
      </a:outerShdw>
    </a:effectLst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0.58435</cdr:x>
      <cdr:y>0.03241</cdr:y>
    </cdr:from>
    <cdr:to>
      <cdr:x>0.96577</cdr:x>
      <cdr:y>0.17593</cdr:y>
    </cdr:to>
    <cdr:sp macro="" textlink="">
      <cdr:nvSpPr>
        <cdr:cNvPr id="2" name="CuadroTexto 1">
          <a:extLst xmlns:a="http://schemas.openxmlformats.org/drawingml/2006/main">
            <a:ext uri="{FF2B5EF4-FFF2-40B4-BE49-F238E27FC236}">
              <a16:creationId xmlns:a16="http://schemas.microsoft.com/office/drawing/2014/main" id="{B5310542-42DB-3D08-CA98-347B6C1BA1D7}"/>
            </a:ext>
          </a:extLst>
        </cdr:cNvPr>
        <cdr:cNvSpPr txBox="1"/>
      </cdr:nvSpPr>
      <cdr:spPr>
        <a:xfrm xmlns:a="http://schemas.openxmlformats.org/drawingml/2006/main">
          <a:off x="3035300" y="88900"/>
          <a:ext cx="1981200" cy="393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/>
        <a:lstStyle xmlns:a="http://schemas.openxmlformats.org/drawingml/2006/main"/>
        <a:p xmlns:a="http://schemas.openxmlformats.org/drawingml/2006/main">
          <a:pPr algn="ctr"/>
          <a:r>
            <a:rPr lang="es-ES_tradnl" sz="1400" b="1" kern="1200"/>
            <a:t>Metodos de Pago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3</cp:revision>
  <dcterms:created xsi:type="dcterms:W3CDTF">2025-02-28T14:19:00Z</dcterms:created>
  <dcterms:modified xsi:type="dcterms:W3CDTF">2025-03-06T14:57:00Z</dcterms:modified>
</cp:coreProperties>
</file>