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Intellectual Property and Employment Law Considerations in Technology Development</w:t>
      </w:r>
    </w:p>
    <w:p>
      <w:r>
        <w:br/>
        <w:t>Exercise 1: Auto Repair Electronic Database</w:t>
        <w:br/>
        <w:br/>
        <w:t>Creating an electronic database that compiles automotive repair information from 2006 onward presents significant intellectual property (IP) challenges. Much of the data described—such as repair manuals, schematics, wiring diagrams, and technical service bulletins—is likely protected under copyright law. Copyright protects original works of authorship fixed in a tangible medium, including technical documents and diagrams (U.S. Copyright Office, 2023). Scanning and digitizing these materials without permission would constitute copyright infringement, even if the intent is educational or for public use.</w:t>
        <w:br/>
        <w:br/>
        <w:t>Additionally, some of the information may be protected as trade secrets, especially proprietary repair methods or diagnostic tools created by automobile manufacturers. Accessing or distributing such information without authorization could result in legal consequences. Furthermore, trademarks may be implicated when using brand names, logos, and model identifiers in the database interface.</w:t>
        <w:br/>
        <w:br/>
        <w:t>To navigate these issues, the creators of the database could pursue licensing agreements with automobile manufacturers and publishers. Licensing allows legal use of copyrighted materials in exchange for fees or royalties. Another approach is to rely on publicly available data, such as government-issued recall information from the National Highway Traffic Safety Administration (NHTSA). The database developers could also create original content, such as writing their own repair guides or generating new diagrams, to avoid infringement.</w:t>
        <w:br/>
        <w:br/>
        <w:t>Fair use may provide limited protection, particularly for transformative uses such as summarizing or indexing information. However, fair use is context-specific and not guaranteed, especially in commercial applications. Therefore, relying solely on fair use would be risky.</w:t>
        <w:br/>
        <w:br/>
        <w:t>To protect their own intellectual property, the developers should consider copyrighting their original database structure, user interface, and any unique content they create. They may also seek patent protection for innovative search algorithms or software processes if they meet the requirements of novelty and non-obviousness. Additionally, implementing terms of service and digital rights management (DRM) systems can help prevent unauthorized distribution of their database.</w:t>
        <w:br/>
        <w:br/>
        <w:t>Exercise 2: Noncompete Clause Recommendation</w:t>
        <w:br/>
        <w:br/>
        <w:t>As a member of a human resources team in a Silicon Beach tech company, deciding whether to implement a noncompete clause requires balancing business interests with employee rights and regional legal norms. Noncompete clauses are contractual agreements that restrict employees from working for competitors or starting similar businesses within a certain time frame and geographic area after leaving a company.</w:t>
        <w:br/>
        <w:br/>
        <w:t>In California, where Silicon Beach is located, noncompete clauses are largely unenforceable under California Business and Professions Code Section 16600, which states that contracts restraining lawful profession, trade, or business are void (California Legislative Information, 2024). This legal environment encourages employee mobility and innovation, which are critical to the success of tech ecosystems.</w:t>
        <w:br/>
        <w:br/>
        <w:t>Given this context, I would not support adding a noncompete clause for new hires. Enforcing such clauses could expose the company to legal risks and damage its reputation among potential employees. Instead, the company should focus on alternative protections, such as nondisclosure agreements (NDAs) and confidentiality agreements. These tools protect sensitive information without restricting employees’ future employment opportunities.</w:t>
        <w:br/>
        <w:br/>
        <w:t>Moreover, companies can invest in employee retention strategies, such as competitive salaries, career development opportunities, and positive workplace culture. These approaches are more effective in maintaining a skilled workforce than restrictive legal agreements.</w:t>
        <w:br/>
        <w:br/>
        <w:t>In conclusion, while protecting intellectual property and competitive advantage is important, it must be done within the bounds of the law and ethical employment practices. Avoiding noncompete clauses in California aligns with both legal requirements and the collaborative spirit of the technology industry.</w:t>
        <w:br/>
        <w:br/>
        <w:t>References</w:t>
        <w:br/>
        <w:br/>
        <w:t>California Legislative Information. (2024). Business and Professions Code Section 16600. https://leginfo.legislature.ca.gov</w:t>
        <w:br/>
        <w:br/>
        <w:t>U.S. Copyright Office. (2023). What is copyright? https://www.copyright.gov/what-is-copyright/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