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26C" w:rsidRPr="00C7026C" w:rsidRDefault="00C7026C" w:rsidP="00C7026C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Compared to the number of genes that the prokaryotic organism E. </w:t>
      </w:r>
      <w:proofErr w:type="gram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Coli</w:t>
      </w:r>
      <w:proofErr w:type="gramEnd"/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 has (4,400 genes) a primitive eukaryote such as Baker’s Yeast has: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817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18pt" o:ole="">
                  <v:imagedata r:id="rId4" o:title=""/>
                </v:shape>
                <w:control r:id="rId5" w:name="DefaultOcxName" w:shapeid="_x0000_i1038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About ten times as many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7" type="#_x0000_t75" style="width:20.25pt;height:18pt" o:ole="">
                  <v:imagedata r:id="rId4" o:title=""/>
                </v:shape>
                <w:control r:id="rId6" w:name="DefaultOcxName1" w:shapeid="_x0000_i1037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About one hundred times as many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6" type="#_x0000_t75" style="width:20.25pt;height:18pt" o:ole="">
                  <v:imagedata r:id="rId8" o:title=""/>
                </v:shape>
                <w:control r:id="rId9" w:name="DefaultOcxName2" w:shapeid="_x0000_i103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About the same number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5" type="#_x0000_t75" style="width:20.25pt;height:18pt" o:ole="">
                  <v:imagedata r:id="rId4" o:title=""/>
                </v:shape>
                <w:control r:id="rId10" w:name="DefaultOcxName3" w:shapeid="_x0000_i103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About a thousand times as many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Name the organelle involved in packaging and processing of proteins for secretion or delivery to other organelles.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46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6" type="#_x0000_t75" style="width:20.25pt;height:18pt" o:ole="">
                  <v:imagedata r:id="rId4" o:title=""/>
                </v:shape>
                <w:control r:id="rId11" w:name="DefaultOcxName4" w:shapeid="_x0000_i105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peroxisome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5" name="Picture 1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5" type="#_x0000_t75" style="width:20.25pt;height:18pt" o:ole="">
                  <v:imagedata r:id="rId8" o:title=""/>
                </v:shape>
                <w:control r:id="rId12" w:name="DefaultOcxName11" w:shapeid="_x0000_i105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Golgi apparatus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4" type="#_x0000_t75" style="width:20.25pt;height:18pt" o:ole="">
                  <v:imagedata r:id="rId4" o:title=""/>
                </v:shape>
                <w:control r:id="rId13" w:name="DefaultOcxName21" w:shapeid="_x0000_i1054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mitochondria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3" type="#_x0000_t75" style="width:20.25pt;height:18pt" o:ole="">
                  <v:imagedata r:id="rId4" o:title=""/>
                </v:shape>
                <w:control r:id="rId14" w:name="DefaultOcxName31" w:shapeid="_x0000_i1053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lysosome</w:t>
            </w:r>
            <w:proofErr w:type="spellEnd"/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What property renders H, O, C and N atoms so suitable to the chemistry of life?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638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4" type="#_x0000_t75" style="width:20.25pt;height:18pt" o:ole="">
                  <v:imagedata r:id="rId4" o:title=""/>
                </v:shape>
                <w:control r:id="rId15" w:name="DefaultOcxName5" w:shapeid="_x0000_i1074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they are among the lightest elements in the periodic table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3" type="#_x0000_t75" style="width:20.25pt;height:18pt" o:ole="">
                  <v:imagedata r:id="rId4" o:title=""/>
                </v:shape>
                <w:control r:id="rId16" w:name="DefaultOcxName12" w:shapeid="_x0000_i1073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constitute 99% of the earth’s crust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33" name="Picture 3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2" type="#_x0000_t75" style="width:20.25pt;height:18pt" o:ole="">
                  <v:imagedata r:id="rId8" o:title=""/>
                </v:shape>
                <w:control r:id="rId17" w:name="DefaultOcxName22" w:shapeid="_x0000_i1072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able to form strong covalent bonds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1" type="#_x0000_t75" style="width:20.25pt;height:18pt" o:ole="">
                  <v:imagedata r:id="rId4" o:title=""/>
                </v:shape>
                <w:control r:id="rId18" w:name="DefaultOcxName32" w:shapeid="_x0000_i1071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 as gases in the environment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The functional properties of biological molecules and biological systems depend on the ability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8550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2" type="#_x0000_t75" style="width:20.25pt;height:18pt" o:ole="">
                  <v:imagedata r:id="rId4" o:title=""/>
                </v:shape>
                <w:control r:id="rId19" w:name="DefaultOcxName6" w:shapeid="_x0000_i1092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form covalent interactions between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biomolecules</w:t>
            </w:r>
            <w:proofErr w:type="spellEnd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that provide directionality and specificity to biological reactions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51" name="Picture 5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1" type="#_x0000_t75" style="width:20.25pt;height:18pt" o:ole="">
                  <v:imagedata r:id="rId8" o:title=""/>
                </v:shape>
                <w:control r:id="rId20" w:name="DefaultOcxName13" w:shapeid="_x0000_i1091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specifically recognize complementary molecules through weak, reversible chemical forces (no covalent bonds)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0" type="#_x0000_t75" style="width:20.25pt;height:18pt" o:ole="">
                  <v:imagedata r:id="rId4" o:title=""/>
                </v:shape>
                <w:control r:id="rId21" w:name="DefaultOcxName23" w:shapeid="_x0000_i1090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specific, rigid, static lattices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89" type="#_x0000_t75" style="width:20.25pt;height:18pt" o:ole="">
                  <v:imagedata r:id="rId4" o:title=""/>
                </v:shape>
                <w:control r:id="rId22" w:name="DefaultOcxName33" w:shapeid="_x0000_i1089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operate within a wide range of physical conditions appropriate to colonization of different environments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All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biomolecules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 contain carbon. What properties of carbon make it so versatile? It</w:t>
      </w:r>
      <w:proofErr w:type="gram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a. forms stable covalent bonds with itself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b. forms stable covalent bonds with H, O, and N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c. forms double bonds with itself, O and N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d. has a tetrahedral arrangement of its single bonds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e. forms complex 3-D structures.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Choose the correct 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096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69" name="Picture 69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0" type="#_x0000_t75" style="width:20.25pt;height:18pt" o:ole="">
                  <v:imagedata r:id="rId8" o:title=""/>
                </v:shape>
                <w:control r:id="rId23" w:name="DefaultOcxName7" w:shapeid="_x0000_i1110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the above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9" type="#_x0000_t75" style="width:20.25pt;height:18pt" o:ole="">
                  <v:imagedata r:id="rId4" o:title=""/>
                </v:shape>
                <w:control r:id="rId24" w:name="DefaultOcxName14" w:shapeid="_x0000_i1109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c and d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8" type="#_x0000_t75" style="width:20.25pt;height:18pt" o:ole="">
                  <v:imagedata r:id="rId4" o:title=""/>
                </v:shape>
                <w:control r:id="rId25" w:name="DefaultOcxName24" w:shapeid="_x0000_i1108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 and d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7" type="#_x0000_t75" style="width:20.25pt;height:18pt" o:ole="">
                  <v:imagedata r:id="rId4" o:title=""/>
                </v:shape>
                <w:control r:id="rId26" w:name="DefaultOcxName34" w:shapeid="_x0000_i1107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d and e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Name the organelle involved in the oxidation of carbohydrates, lipids and amino acids with the conservation of the energy released as ATP.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46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87" name="Picture 8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8" type="#_x0000_t75" style="width:20.25pt;height:18pt" o:ole="">
                  <v:imagedata r:id="rId8" o:title=""/>
                </v:shape>
                <w:control r:id="rId27" w:name="DefaultOcxName8" w:shapeid="_x0000_i1128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mitochondria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28" w:name="DefaultOcxName15" w:shapeid="_x0000_i1127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lysosome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6" type="#_x0000_t75" style="width:20.25pt;height:18pt" o:ole="">
                  <v:imagedata r:id="rId4" o:title=""/>
                </v:shape>
                <w:control r:id="rId29" w:name="DefaultOcxName25" w:shapeid="_x0000_i112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Golgi apparatus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5" type="#_x0000_t75" style="width:20.25pt;height:18pt" o:ole="">
                  <v:imagedata r:id="rId4" o:title=""/>
                </v:shape>
                <w:control r:id="rId30" w:name="DefaultOcxName35" w:shapeid="_x0000_i112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peroxisome</w:t>
            </w:r>
            <w:proofErr w:type="spellEnd"/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What principle underlies the structural organization of complex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biomolecules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>? Complex molecules: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5448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6" type="#_x0000_t75" style="width:20.25pt;height:18pt" o:ole="">
                  <v:imagedata r:id="rId4" o:title=""/>
                </v:shape>
                <w:control r:id="rId31" w:name="DefaultOcxName9" w:shapeid="_x0000_i114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are constructed from proteins, polysaccharides and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polynucleotides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5" type="#_x0000_t75" style="width:20.25pt;height:18pt" o:ole="">
                  <v:imagedata r:id="rId4" o:title=""/>
                </v:shape>
                <w:control r:id="rId32" w:name="DefaultOcxName16" w:shapeid="_x0000_i114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 multifunctional enzymes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05" name="Picture 10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4" type="#_x0000_t75" style="width:20.25pt;height:18pt" o:ole="">
                  <v:imagedata r:id="rId8" o:title=""/>
                </v:shape>
                <w:control r:id="rId33" w:name="DefaultOcxName26" w:shapeid="_x0000_i1144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 constructed by polymerization of simple molecules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3" type="#_x0000_t75" style="width:20.25pt;height:18pt" o:ole="">
                  <v:imagedata r:id="rId4" o:title=""/>
                </v:shape>
                <w:control r:id="rId34" w:name="DefaultOcxName36" w:shapeid="_x0000_i1143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RNA and proteins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Name the organelle that contains hydrolytic enzymes with acidic pH optimums for controlled degradation of intracellular components as well as the intracellular digestion of materials entering the cell by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phagocytosis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 and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pinocytosis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46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4" type="#_x0000_t75" style="width:20.25pt;height:18pt" o:ole="">
                  <v:imagedata r:id="rId4" o:title=""/>
                </v:shape>
                <w:control r:id="rId35" w:name="DefaultOcxName10" w:shapeid="_x0000_i1164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mitochondria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23" name="Picture 12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3" type="#_x0000_t75" style="width:20.25pt;height:18pt" o:ole="">
                  <v:imagedata r:id="rId8" o:title=""/>
                </v:shape>
                <w:control r:id="rId36" w:name="DefaultOcxName17" w:shapeid="_x0000_i1163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lysosome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2" type="#_x0000_t75" style="width:20.25pt;height:18pt" o:ole="">
                  <v:imagedata r:id="rId4" o:title=""/>
                </v:shape>
                <w:control r:id="rId37" w:name="DefaultOcxName27" w:shapeid="_x0000_i1162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peroxisome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1" type="#_x0000_t75" style="width:20.25pt;height:18pt" o:ole="">
                  <v:imagedata r:id="rId4" o:title=""/>
                </v:shape>
                <w:control r:id="rId38" w:name="DefaultOcxName37" w:shapeid="_x0000_i1161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Golgi apparatus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Hydrogen bonds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660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2" type="#_x0000_t75" style="width:20.25pt;height:18pt" o:ole="">
                  <v:imagedata r:id="rId4" o:title=""/>
                </v:shape>
                <w:control r:id="rId39" w:name="DefaultOcxName19" w:shapeid="_x0000_i1182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About as strong as a single covalent bond but weaker than a double covalent bond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41" name="Picture 14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1" type="#_x0000_t75" style="width:20.25pt;height:18pt" o:ole="">
                  <v:imagedata r:id="rId8" o:title=""/>
                </v:shape>
                <w:control r:id="rId40" w:name="DefaultOcxName18" w:shapeid="_x0000_i1181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Usually stronger than van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der</w:t>
            </w:r>
            <w:proofErr w:type="spellEnd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Waals interactions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0" type="#_x0000_t75" style="width:20.25pt;height:18pt" o:ole="">
                  <v:imagedata r:id="rId4" o:title=""/>
                </v:shape>
                <w:control r:id="rId41" w:name="DefaultOcxName28" w:shapeid="_x0000_i1180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Usually stronger than ionic interactions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79" type="#_x0000_t75" style="width:20.25pt;height:18pt" o:ole="">
                  <v:imagedata r:id="rId4" o:title=""/>
                </v:shape>
                <w:control r:id="rId42" w:name="DefaultOcxName38" w:shapeid="_x0000_i1179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Whole genome sequencing of the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archeon</w:t>
      </w:r>
      <w:proofErr w:type="spellEnd"/>
      <w:r w:rsidRPr="00C7026C">
        <w:rPr>
          <w:rFonts w:ascii="Arial" w:eastAsia="Times New Roman" w:hAnsi="Arial" w:cs="Arial"/>
          <w:color w:val="000000"/>
          <w:sz w:val="18"/>
        </w:rPr>
        <w:t> </w:t>
      </w:r>
      <w:proofErr w:type="spellStart"/>
      <w:r w:rsidRPr="00C7026C">
        <w:rPr>
          <w:rFonts w:ascii="Arial" w:eastAsia="Times New Roman" w:hAnsi="Arial" w:cs="Arial"/>
          <w:i/>
          <w:iCs/>
          <w:color w:val="000000"/>
          <w:sz w:val="18"/>
          <w:szCs w:val="18"/>
        </w:rPr>
        <w:t>Methanococcus</w:t>
      </w:r>
      <w:proofErr w:type="spellEnd"/>
      <w:r w:rsidRPr="00C7026C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r w:rsidRPr="00C7026C">
        <w:rPr>
          <w:rFonts w:ascii="Arial" w:eastAsia="Times New Roman" w:hAnsi="Arial" w:cs="Arial"/>
          <w:i/>
          <w:iCs/>
          <w:color w:val="000000"/>
          <w:sz w:val="18"/>
          <w:szCs w:val="18"/>
        </w:rPr>
        <w:t>jannaschii</w:t>
      </w:r>
      <w:proofErr w:type="spellEnd"/>
      <w:r w:rsidRPr="00C7026C">
        <w:rPr>
          <w:rFonts w:ascii="Arial" w:eastAsia="Times New Roman" w:hAnsi="Arial" w:cs="Arial"/>
          <w:color w:val="000000"/>
          <w:sz w:val="18"/>
        </w:rPr>
        <w:t> 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t>and comparison with a variety of organisms shows that: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739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0" type="#_x0000_t75" style="width:20.25pt;height:18pt" o:ole="">
                  <v:imagedata r:id="rId4" o:title=""/>
                </v:shape>
                <w:control r:id="rId43" w:name="DefaultOcxName20" w:shapeid="_x0000_i1200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About 20-30% of its genes are similar to known genes in eukaryotes and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eubacteria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44" w:name="DefaultOcxName110" w:shapeid="_x0000_i1199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About 30-40% of its genes are similar to known genes in eukaryotes and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eubacteria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59" name="Picture 159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8" type="#_x0000_t75" style="width:20.25pt;height:18pt" o:ole="">
                  <v:imagedata r:id="rId8" o:title=""/>
                </v:shape>
                <w:control r:id="rId45" w:name="DefaultOcxName29" w:shapeid="_x0000_i1198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About 40-50% of its genes are similar to known genes in eukaryotes and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eubacteria</w:t>
            </w:r>
            <w:proofErr w:type="spellEnd"/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7" type="#_x0000_t75" style="width:20.25pt;height:18pt" o:ole="">
                  <v:imagedata r:id="rId4" o:title=""/>
                </v:shape>
                <w:control r:id="rId46" w:name="DefaultOcxName39" w:shapeid="_x0000_i1197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About 50-60% of its genes are similar to known genes in eukaryotes and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eubacteria</w:t>
            </w:r>
            <w:proofErr w:type="spellEnd"/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Which of the following non-covalent bonds and interactions are particularly important in maintaining membrane structure?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057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47" w:name="DefaultOcxName30" w:shapeid="_x0000_i1218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H-bonds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48" w:name="DefaultOcxName111" w:shapeid="_x0000_i1217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van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der</w:t>
            </w:r>
            <w:proofErr w:type="spellEnd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Waals forces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6" type="#_x0000_t75" style="width:20.25pt;height:18pt" o:ole="">
                  <v:imagedata r:id="rId4" o:title=""/>
                </v:shape>
                <w:control r:id="rId49" w:name="DefaultOcxName210" w:shapeid="_x0000_i121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Ionic interactions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77" name="Picture 17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5" type="#_x0000_t75" style="width:20.25pt;height:18pt" o:ole="">
                  <v:imagedata r:id="rId8" o:title=""/>
                </v:shape>
                <w:control r:id="rId50" w:name="DefaultOcxName310" w:shapeid="_x0000_i121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Hydrophobic interactions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A major property of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biomolecules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, that reflects their fitness to specify life, is that they contain biological information. The information content of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biomolecules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 results from the</w:t>
      </w:r>
      <w:proofErr w:type="gram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a. head-to-tail polymerization of the building block units which gives the molecule structural polarity.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b</w:t>
      </w:r>
      <w:proofErr w:type="gramEnd"/>
      <w:r w:rsidRPr="00C7026C">
        <w:rPr>
          <w:rFonts w:ascii="Arial" w:eastAsia="Times New Roman" w:hAnsi="Arial" w:cs="Arial"/>
          <w:color w:val="000000"/>
          <w:sz w:val="18"/>
          <w:szCs w:val="18"/>
        </w:rPr>
        <w:t>. sequence of the component building block units.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 xml:space="preserve">c. H-bond, van </w:t>
      </w:r>
      <w:proofErr w:type="spell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der</w:t>
      </w:r>
      <w:proofErr w:type="spellEnd"/>
      <w:r w:rsidRPr="00C7026C">
        <w:rPr>
          <w:rFonts w:ascii="Arial" w:eastAsia="Times New Roman" w:hAnsi="Arial" w:cs="Arial"/>
          <w:color w:val="000000"/>
          <w:sz w:val="18"/>
          <w:szCs w:val="18"/>
        </w:rPr>
        <w:t xml:space="preserve"> Waals forces and ionic interactions which hold macromolecules together.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C7026C">
        <w:rPr>
          <w:rFonts w:ascii="Arial" w:eastAsia="Times New Roman" w:hAnsi="Arial" w:cs="Arial"/>
          <w:color w:val="000000"/>
          <w:sz w:val="18"/>
          <w:szCs w:val="18"/>
        </w:rPr>
        <w:t>d</w:t>
      </w:r>
      <w:proofErr w:type="gramEnd"/>
      <w:r w:rsidRPr="00C7026C">
        <w:rPr>
          <w:rFonts w:ascii="Arial" w:eastAsia="Times New Roman" w:hAnsi="Arial" w:cs="Arial"/>
          <w:color w:val="000000"/>
          <w:sz w:val="18"/>
          <w:szCs w:val="18"/>
        </w:rPr>
        <w:t>. exclusion of water from the hydrophobic interactions which would otherwise dilute out the information.</w:t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7026C">
        <w:rPr>
          <w:rFonts w:ascii="Arial" w:eastAsia="Times New Roman" w:hAnsi="Arial" w:cs="Arial"/>
          <w:color w:val="000000"/>
          <w:sz w:val="18"/>
          <w:szCs w:val="18"/>
        </w:rPr>
        <w:br/>
        <w:t>Choose the correct 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096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51" w:name="DefaultOcxName40" w:shapeid="_x0000_i123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the above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52" w:name="DefaultOcxName112" w:shapeid="_x0000_i123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 and d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53" w:name="DefaultOcxName211" w:shapeid="_x0000_i1234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and d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95" name="Picture 19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3" type="#_x0000_t75" style="width:20.25pt;height:18pt" o:ole="">
                  <v:imagedata r:id="rId8" o:title=""/>
                </v:shape>
                <w:control r:id="rId54" w:name="DefaultOcxName311" w:shapeid="_x0000_i1233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spellEnd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b</w:t>
            </w:r>
          </w:p>
        </w:tc>
      </w:tr>
    </w:tbl>
    <w:p w:rsidR="00C7026C" w:rsidRPr="00C7026C" w:rsidRDefault="00C7026C" w:rsidP="00C702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026C">
        <w:rPr>
          <w:rFonts w:ascii="Arial" w:eastAsia="Times New Roman" w:hAnsi="Arial" w:cs="Arial"/>
          <w:color w:val="000000"/>
          <w:sz w:val="18"/>
          <w:szCs w:val="18"/>
        </w:rPr>
        <w:t>Hydrogen bonds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158"/>
      </w:tblGrid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55" w:name="DefaultOcxName42" w:shapeid="_x0000_i1257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Significantly longer than van </w:t>
            </w:r>
            <w:proofErr w:type="spellStart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der</w:t>
            </w:r>
            <w:proofErr w:type="spellEnd"/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Waals interactions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213" name="Picture 21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6" type="#_x0000_t75" style="width:20.25pt;height:18pt" o:ole="">
                  <v:imagedata r:id="rId8" o:title=""/>
                </v:shape>
                <w:control r:id="rId56" w:name="DefaultOcxName113" w:shapeid="_x0000_i1256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Highly directional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57" w:name="DefaultOcxName212" w:shapeid="_x0000_i1255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Less specific than hydrophobic interactions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58" w:name="DefaultOcxName312" w:shapeid="_x0000_i1254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Shorter than ionic interactions</w:t>
            </w:r>
          </w:p>
        </w:tc>
      </w:tr>
      <w:tr w:rsidR="00C7026C" w:rsidRPr="00C7026C" w:rsidTr="00C7026C">
        <w:trPr>
          <w:tblCellSpacing w:w="15" w:type="dxa"/>
        </w:trPr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59" w:name="DefaultOcxName41" w:shapeid="_x0000_i1253"/>
              </w:object>
            </w:r>
          </w:p>
        </w:tc>
        <w:tc>
          <w:tcPr>
            <w:tcW w:w="0" w:type="auto"/>
            <w:hideMark/>
          </w:tcPr>
          <w:p w:rsidR="00C7026C" w:rsidRPr="00C7026C" w:rsidRDefault="00C7026C" w:rsidP="00C70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DD7E83" w:rsidRDefault="00DD7E83"/>
    <w:sectPr w:rsidR="00DD7E83" w:rsidSect="00DD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26C"/>
    <w:rsid w:val="00C7026C"/>
    <w:rsid w:val="00DD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70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1</cp:revision>
  <dcterms:created xsi:type="dcterms:W3CDTF">2014-09-09T02:30:00Z</dcterms:created>
  <dcterms:modified xsi:type="dcterms:W3CDTF">2014-09-09T02:36:00Z</dcterms:modified>
</cp:coreProperties>
</file>