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1750BC">
      <w:pPr>
        <w:rPr>
          <w:rFonts w:ascii="仿宋_GB2312" w:eastAsia="仿宋_GB2312"/>
          <w:b/>
          <w:bCs/>
          <w:sz w:val="72"/>
          <w:szCs w:val="72"/>
        </w:rPr>
      </w:pPr>
      <w:bookmarkStart w:id="0" w:name="_GoBack"/>
      <w:bookmarkEnd w:id="0"/>
      <w:r>
        <w:rPr>
          <w:rFonts w:hint="eastAsia" w:ascii="仿宋_GB2312" w:eastAsia="仿宋_GB2312" w:cs="仿宋_GB2312"/>
          <w:b/>
          <w:bCs/>
          <w:sz w:val="28"/>
          <w:szCs w:val="28"/>
        </w:rPr>
        <w:t>课程编号：</w:t>
      </w:r>
    </w:p>
    <w:p w14:paraId="7D6D5C7C">
      <w:pPr>
        <w:jc w:val="center"/>
        <w:rPr>
          <w:rFonts w:hint="eastAsia" w:ascii="仿宋_GB2312" w:eastAsia="仿宋_GB2312" w:cs="仿宋_GB2312"/>
          <w:b/>
          <w:bCs/>
          <w:sz w:val="72"/>
          <w:szCs w:val="72"/>
        </w:rPr>
      </w:pPr>
    </w:p>
    <w:p w14:paraId="7DF653E0">
      <w:pPr>
        <w:jc w:val="center"/>
        <w:rPr>
          <w:rFonts w:hint="eastAsia" w:ascii="仿宋_GB2312" w:eastAsia="仿宋_GB2312" w:cs="仿宋_GB2312"/>
          <w:b/>
          <w:bCs/>
          <w:sz w:val="72"/>
          <w:szCs w:val="72"/>
        </w:rPr>
      </w:pPr>
    </w:p>
    <w:p w14:paraId="0F811DC8">
      <w:pPr>
        <w:jc w:val="center"/>
        <w:rPr>
          <w:rFonts w:hint="default" w:ascii="仿宋_GB2312" w:eastAsia="仿宋_GB2312"/>
          <w:b/>
          <w:bCs/>
          <w:sz w:val="72"/>
          <w:szCs w:val="72"/>
          <w:lang w:val="en-US" w:eastAsia="zh-CN"/>
        </w:rPr>
      </w:pPr>
      <w:r>
        <w:rPr>
          <w:rFonts w:hint="eastAsia" w:ascii="仿宋_GB2312" w:eastAsia="仿宋_GB2312" w:cs="仿宋_GB2312"/>
          <w:b/>
          <w:bCs/>
          <w:sz w:val="72"/>
          <w:szCs w:val="72"/>
          <w:lang w:eastAsia="zh-CN"/>
        </w:rPr>
        <w:t>《</w:t>
      </w:r>
      <w:r>
        <w:rPr>
          <w:rFonts w:hint="eastAsia" w:ascii="仿宋_GB2312" w:eastAsia="仿宋_GB2312" w:cs="仿宋_GB2312"/>
          <w:b/>
          <w:bCs/>
          <w:sz w:val="72"/>
          <w:szCs w:val="72"/>
        </w:rPr>
        <w:t>开源</w:t>
      </w:r>
      <w:r>
        <w:rPr>
          <w:rFonts w:hint="eastAsia" w:ascii="仿宋_GB2312" w:eastAsia="仿宋_GB2312" w:cs="仿宋_GB2312"/>
          <w:b/>
          <w:bCs/>
          <w:sz w:val="72"/>
          <w:szCs w:val="72"/>
          <w:lang w:val="en-US" w:eastAsia="zh-CN"/>
        </w:rPr>
        <w:t>创新思维》</w:t>
      </w:r>
    </w:p>
    <w:p w14:paraId="67604145">
      <w:pPr>
        <w:jc w:val="center"/>
        <w:rPr>
          <w:rFonts w:ascii="仿宋_GB2312" w:eastAsia="仿宋_GB2312"/>
          <w:b/>
          <w:bCs/>
          <w:sz w:val="72"/>
          <w:szCs w:val="72"/>
        </w:rPr>
      </w:pPr>
      <w:r>
        <w:rPr>
          <w:rFonts w:hint="eastAsia" w:ascii="仿宋_GB2312" w:eastAsia="仿宋_GB2312" w:cs="仿宋_GB2312"/>
          <w:b/>
          <w:bCs/>
          <w:sz w:val="72"/>
          <w:szCs w:val="72"/>
        </w:rPr>
        <w:t>平时作业报告</w:t>
      </w:r>
    </w:p>
    <w:p w14:paraId="72B4D612">
      <w:pPr>
        <w:spacing w:after="174"/>
        <w:jc w:val="center"/>
        <w:rPr>
          <w:rFonts w:ascii="仿宋_GB2312" w:eastAsia="仿宋_GB2312"/>
          <w:b/>
          <w:bCs/>
          <w:sz w:val="52"/>
          <w:szCs w:val="52"/>
        </w:rPr>
      </w:pPr>
    </w:p>
    <w:p w14:paraId="1E8560DC">
      <w:pPr>
        <w:spacing w:after="174"/>
        <w:jc w:val="center"/>
        <w:rPr>
          <w:rFonts w:ascii="宋体"/>
          <w:sz w:val="28"/>
          <w:szCs w:val="28"/>
        </w:rPr>
      </w:pPr>
    </w:p>
    <w:p w14:paraId="1E615644">
      <w:pPr>
        <w:spacing w:after="174"/>
        <w:jc w:val="center"/>
        <w:rPr>
          <w:rFonts w:ascii="宋体"/>
          <w:sz w:val="28"/>
          <w:szCs w:val="28"/>
        </w:rPr>
      </w:pPr>
    </w:p>
    <w:p w14:paraId="27E03F4E">
      <w:pPr>
        <w:spacing w:after="174"/>
        <w:jc w:val="center"/>
        <w:rPr>
          <w:rFonts w:ascii="宋体"/>
          <w:sz w:val="28"/>
          <w:szCs w:val="28"/>
        </w:rPr>
      </w:pPr>
    </w:p>
    <w:p w14:paraId="0CE85110">
      <w:pPr>
        <w:spacing w:after="174"/>
        <w:jc w:val="center"/>
        <w:rPr>
          <w:rFonts w:ascii="宋体"/>
          <w:sz w:val="28"/>
          <w:szCs w:val="28"/>
        </w:rPr>
      </w:pPr>
    </w:p>
    <w:p w14:paraId="1C97CF4E">
      <w:pPr>
        <w:spacing w:after="174"/>
        <w:jc w:val="center"/>
        <w:rPr>
          <w:rFonts w:ascii="宋体"/>
          <w:sz w:val="28"/>
          <w:szCs w:val="28"/>
        </w:rPr>
      </w:pPr>
    </w:p>
    <w:p w14:paraId="7DE1962F">
      <w:pPr>
        <w:spacing w:after="174"/>
        <w:rPr>
          <w:rFonts w:ascii="仿宋_GB2312" w:eastAsia="仿宋_GB2312"/>
        </w:rPr>
      </w:pPr>
    </w:p>
    <w:p w14:paraId="08818189">
      <w:pPr>
        <w:spacing w:after="174"/>
        <w:rPr>
          <w:rFonts w:ascii="仿宋_GB2312" w:eastAsia="仿宋_GB2312"/>
        </w:rPr>
      </w:pPr>
    </w:p>
    <w:p w14:paraId="6B531FE3">
      <w:pPr>
        <w:spacing w:after="174"/>
        <w:rPr>
          <w:rFonts w:ascii="仿宋_GB2312" w:eastAsia="仿宋_GB2312"/>
        </w:rPr>
      </w:pPr>
    </w:p>
    <w:p w14:paraId="6EFB2D5D">
      <w:pPr>
        <w:spacing w:after="174"/>
        <w:rPr>
          <w:rFonts w:ascii="仿宋_GB2312" w:eastAsia="仿宋_GB2312"/>
        </w:rPr>
      </w:pPr>
    </w:p>
    <w:tbl>
      <w:tblPr>
        <w:tblW w:w="79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1"/>
        <w:gridCol w:w="1594"/>
        <w:gridCol w:w="56"/>
        <w:gridCol w:w="2145"/>
        <w:gridCol w:w="2183"/>
      </w:tblGrid>
      <w:tr w14:paraId="04EF7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961" w:type="dxa"/>
            <w:vAlign w:val="center"/>
          </w:tcPr>
          <w:p w14:paraId="35084A30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姓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    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名</w:t>
            </w:r>
          </w:p>
        </w:tc>
        <w:tc>
          <w:tcPr>
            <w:tcW w:w="1594" w:type="dxa"/>
            <w:vAlign w:val="center"/>
          </w:tcPr>
          <w:p w14:paraId="1A12E197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b/>
                <w:i w:val="0"/>
                <w:color w:val="000000"/>
                <w:sz w:val="24"/>
              </w:rPr>
              <w:t>陆文雨</w:t>
            </w:r>
          </w:p>
        </w:tc>
        <w:tc>
          <w:tcPr>
            <w:tcW w:w="2201" w:type="dxa"/>
            <w:gridSpan w:val="2"/>
            <w:vAlign w:val="center"/>
          </w:tcPr>
          <w:p w14:paraId="616522A3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30"/>
                <w:kern w:val="0"/>
                <w:sz w:val="24"/>
                <w:szCs w:val="24"/>
              </w:rPr>
              <w:t>学</w:t>
            </w:r>
            <w:r>
              <w:rPr>
                <w:rFonts w:ascii="仿宋" w:hAnsi="仿宋" w:eastAsia="仿宋" w:cs="仿宋"/>
                <w:b/>
                <w:bCs/>
                <w:spacing w:val="30"/>
                <w:kern w:val="0"/>
                <w:sz w:val="24"/>
                <w:szCs w:val="24"/>
              </w:rPr>
              <w:t xml:space="preserve">       </w:t>
            </w:r>
            <w:r>
              <w:rPr>
                <w:rFonts w:hint="eastAsia" w:ascii="仿宋" w:hAnsi="仿宋" w:eastAsia="仿宋" w:cs="仿宋"/>
                <w:b/>
                <w:bCs/>
                <w:spacing w:val="45"/>
                <w:kern w:val="0"/>
                <w:sz w:val="24"/>
                <w:szCs w:val="24"/>
              </w:rPr>
              <w:t>号</w:t>
            </w:r>
          </w:p>
        </w:tc>
        <w:tc>
          <w:tcPr>
            <w:tcW w:w="2183" w:type="dxa"/>
            <w:vAlign w:val="center"/>
          </w:tcPr>
          <w:p w14:paraId="7FEEBDAC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b/>
                <w:i w:val="0"/>
                <w:color w:val="000000"/>
                <w:sz w:val="24"/>
              </w:rPr>
              <w:t>f25011308</w:t>
            </w:r>
          </w:p>
        </w:tc>
      </w:tr>
      <w:tr w14:paraId="66C5B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961" w:type="dxa"/>
            <w:vAlign w:val="center"/>
          </w:tcPr>
          <w:p w14:paraId="719C5919">
            <w:pPr>
              <w:wordWrap w:val="0"/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班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    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级</w:t>
            </w:r>
          </w:p>
        </w:tc>
        <w:tc>
          <w:tcPr>
            <w:tcW w:w="1594" w:type="dxa"/>
            <w:vAlign w:val="center"/>
          </w:tcPr>
          <w:p w14:paraId="1612FE55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b/>
                <w:i w:val="0"/>
                <w:color w:val="000000"/>
                <w:sz w:val="24"/>
              </w:rPr>
              <w:t>f250117</w:t>
            </w:r>
          </w:p>
        </w:tc>
        <w:tc>
          <w:tcPr>
            <w:tcW w:w="2201" w:type="dxa"/>
            <w:gridSpan w:val="2"/>
            <w:vAlign w:val="center"/>
          </w:tcPr>
          <w:p w14:paraId="71B3CC3B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>指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>导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>教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1"/>
                <w:kern w:val="0"/>
                <w:sz w:val="24"/>
                <w:szCs w:val="24"/>
              </w:rPr>
              <w:t>师</w:t>
            </w:r>
          </w:p>
        </w:tc>
        <w:tc>
          <w:tcPr>
            <w:tcW w:w="2183" w:type="dxa"/>
            <w:vAlign w:val="center"/>
          </w:tcPr>
          <w:p w14:paraId="19AEECF8">
            <w:pPr>
              <w:jc w:val="center"/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祝欣蓉</w:t>
            </w:r>
          </w:p>
        </w:tc>
      </w:tr>
      <w:tr w14:paraId="42BD8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1961" w:type="dxa"/>
            <w:vAlign w:val="center"/>
          </w:tcPr>
          <w:p w14:paraId="49391E54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开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设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学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期</w:t>
            </w:r>
          </w:p>
        </w:tc>
        <w:tc>
          <w:tcPr>
            <w:tcW w:w="5978" w:type="dxa"/>
            <w:gridSpan w:val="4"/>
            <w:vAlign w:val="center"/>
          </w:tcPr>
          <w:p w14:paraId="2F4D4785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</w:rPr>
              <w:t>20</w:t>
            </w:r>
            <w:r>
              <w:rPr>
                <w:rFonts w:hint="eastAsia"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  <w:lang w:val="en-US" w:eastAsia="zh-CN"/>
              </w:rPr>
              <w:t>26</w:t>
            </w:r>
            <w:r>
              <w:rPr>
                <w:rFonts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</w:rPr>
              <w:t>-20</w:t>
            </w:r>
            <w:r>
              <w:rPr>
                <w:rFonts w:hint="eastAsia"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  <w:lang w:val="en-US" w:eastAsia="zh-CN"/>
              </w:rPr>
              <w:t>27</w:t>
            </w:r>
            <w:r>
              <w:rPr>
                <w:rFonts w:hint="eastAsia"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</w:rPr>
              <w:t>秋季学</w:t>
            </w:r>
            <w:r>
              <w:rPr>
                <w:rFonts w:hint="eastAsia" w:ascii="仿宋" w:hAnsi="仿宋" w:eastAsia="仿宋" w:cs="仿宋"/>
                <w:b/>
                <w:bCs/>
                <w:spacing w:val="0"/>
                <w:kern w:val="0"/>
                <w:sz w:val="24"/>
                <w:szCs w:val="24"/>
                <w:fitText w:val="2892" w:id="1715366501"/>
              </w:rPr>
              <w:t>期</w:t>
            </w:r>
          </w:p>
        </w:tc>
      </w:tr>
      <w:tr w14:paraId="3CAFD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961" w:type="dxa"/>
            <w:vAlign w:val="center"/>
          </w:tcPr>
          <w:p w14:paraId="7CBDA2F8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开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设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时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间</w:t>
            </w:r>
          </w:p>
        </w:tc>
        <w:tc>
          <w:tcPr>
            <w:tcW w:w="5978" w:type="dxa"/>
            <w:gridSpan w:val="4"/>
            <w:vAlign w:val="center"/>
          </w:tcPr>
          <w:p w14:paraId="1221FB3C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第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周</w:t>
            </w:r>
            <w:r>
              <w:rPr>
                <w:rFonts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——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第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  <w:lang w:val="en-US" w:eastAsia="zh-CN"/>
              </w:rPr>
              <w:t>16</w:t>
            </w:r>
            <w:r>
              <w:rPr>
                <w:rFonts w:hint="eastAsia" w:ascii="仿宋" w:hAnsi="仿宋" w:eastAsia="仿宋" w:cs="仿宋"/>
                <w:b/>
                <w:bCs/>
                <w:spacing w:val="3"/>
                <w:kern w:val="0"/>
                <w:sz w:val="24"/>
                <w:szCs w:val="24"/>
                <w:fitText w:val="2892" w:id="1"/>
              </w:rPr>
              <w:t>周</w:t>
            </w:r>
          </w:p>
        </w:tc>
      </w:tr>
      <w:tr w14:paraId="51E73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1961" w:type="dxa"/>
            <w:vAlign w:val="center"/>
          </w:tcPr>
          <w:p w14:paraId="4127BB84">
            <w:pPr>
              <w:wordWrap w:val="0"/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报告日期</w:t>
            </w:r>
          </w:p>
        </w:tc>
        <w:tc>
          <w:tcPr>
            <w:tcW w:w="5978" w:type="dxa"/>
            <w:gridSpan w:val="4"/>
            <w:vAlign w:val="center"/>
          </w:tcPr>
          <w:p w14:paraId="2C519C55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b/>
                <w:i w:val="0"/>
                <w:color w:val="000000"/>
                <w:sz w:val="24"/>
              </w:rPr>
              <w:t>2026 年 10 月 29 日</w:t>
            </w:r>
          </w:p>
        </w:tc>
      </w:tr>
      <w:tr w14:paraId="4D61B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atLeast"/>
          <w:jc w:val="center"/>
        </w:trPr>
        <w:tc>
          <w:tcPr>
            <w:tcW w:w="1961" w:type="dxa"/>
            <w:vMerge w:val="restart"/>
            <w:vAlign w:val="center"/>
          </w:tcPr>
          <w:p w14:paraId="2E95CE6D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评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定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成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绩</w:t>
            </w:r>
          </w:p>
        </w:tc>
        <w:tc>
          <w:tcPr>
            <w:tcW w:w="1650" w:type="dxa"/>
            <w:gridSpan w:val="2"/>
            <w:vMerge w:val="restart"/>
            <w:vAlign w:val="center"/>
          </w:tcPr>
          <w:p w14:paraId="441CE6CB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  <w:vAlign w:val="center"/>
          </w:tcPr>
          <w:p w14:paraId="23CEC041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302"/>
                <w:kern w:val="0"/>
                <w:sz w:val="24"/>
                <w:szCs w:val="24"/>
                <w:fitText w:val="1928" w:id="2"/>
              </w:rPr>
              <w:t>评定</w:t>
            </w:r>
            <w:r>
              <w:rPr>
                <w:rFonts w:hint="eastAsia" w:ascii="仿宋" w:hAnsi="仿宋" w:eastAsia="仿宋" w:cs="仿宋"/>
                <w:b/>
                <w:bCs/>
                <w:spacing w:val="0"/>
                <w:kern w:val="0"/>
                <w:sz w:val="24"/>
                <w:szCs w:val="24"/>
                <w:fitText w:val="1928" w:id="2"/>
              </w:rPr>
              <w:t>人</w:t>
            </w:r>
          </w:p>
        </w:tc>
        <w:tc>
          <w:tcPr>
            <w:tcW w:w="2183" w:type="dxa"/>
            <w:vAlign w:val="center"/>
          </w:tcPr>
          <w:p w14:paraId="4DB25488">
            <w:pPr>
              <w:jc w:val="center"/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祝欣蓉</w:t>
            </w:r>
          </w:p>
        </w:tc>
      </w:tr>
      <w:tr w14:paraId="48668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atLeast"/>
          <w:jc w:val="center"/>
        </w:trPr>
        <w:tc>
          <w:tcPr>
            <w:tcW w:w="1961" w:type="dxa"/>
            <w:vMerge w:val="continue"/>
            <w:vAlign w:val="center"/>
          </w:tcPr>
          <w:p w14:paraId="383DB938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1650" w:type="dxa"/>
            <w:gridSpan w:val="2"/>
            <w:vMerge w:val="continue"/>
            <w:vAlign w:val="center"/>
          </w:tcPr>
          <w:p w14:paraId="32F758F6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  <w:vAlign w:val="center"/>
          </w:tcPr>
          <w:p w14:paraId="561C9102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>评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>定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>日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4"/>
                <w:kern w:val="0"/>
                <w:sz w:val="24"/>
                <w:szCs w:val="24"/>
                <w:fitText w:val="1928" w:id="3"/>
              </w:rPr>
              <w:t>期</w:t>
            </w:r>
          </w:p>
        </w:tc>
        <w:tc>
          <w:tcPr>
            <w:tcW w:w="2183" w:type="dxa"/>
            <w:vAlign w:val="center"/>
          </w:tcPr>
          <w:p w14:paraId="20F3EA0C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</w:tr>
    </w:tbl>
    <w:p>
      <w:pPr>
        <w:keepNext/>
        <w:pageBreakBefore/>
        <w:spacing w:before="0" w:after="120" w:line="300" w:lineRule="auto"/>
        <w:jc w:val="center"/>
      </w:pPr>
      <w:r>
        <w:rPr>
          <w:rFonts w:ascii="Times New Roman" w:hAnsi="Times New Roman" w:eastAsia="宋体" w:cs="Times New Roman"/>
          <w:b/>
          <w:i w:val="0"/>
          <w:color w:val="000000"/>
          <w:sz w:val="36"/>
        </w:rPr>
        <w:t>Apache Dubbo 软件许可测试报告</w:t>
      </w:r>
    </w:p>
    <w:p>
      <w:pPr>
        <w:keepNext w:val="0"/>
        <w:spacing w:before="0" w:after="240" w:line="300" w:lineRule="auto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——基于 Trivy 0.76.1 的 Apache Dubbo 3.3.6 源码树扫描</w:t>
      </w:r>
    </w:p>
    <w:p>
      <w:pPr>
        <w:pStyle w:val="Heading1"/>
        <w:keepNext/>
        <w:spacing w:before="240" w:after="120" w:line="300" w:lineRule="auto"/>
        <w:ind w:firstLine="0"/>
        <w:jc w:val="left"/>
      </w:pPr>
      <w:r>
        <w:t>1、项目介绍</w:t>
      </w:r>
    </w:p>
    <w:p>
      <w:pPr>
        <w:keepNext w:val="0"/>
        <w:spacing w:before="0" w:after="0" w:line="300" w:lineRule="auto"/>
        <w:ind w:firstLine="420" w:firstLineChars="20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Apache Dubbo 是 Apache 软件基金会（ASF）的顶级项目，定位为云原生 Java 微服务框架，提供 RPC、服务发现、流量治理、可观测性和多语言 SDK 等能力。项目采用多模块 Maven 结构，源码规模适中、第三方代码来源清晰，且同时包含 Apache-2.0、MIT 与 BSD-3-Clause 三类许可证，适合作为开源许可证合规检测与混合许可证分析的样本。</w:t>
      </w:r>
    </w:p>
    <w:p>
      <w:pPr>
        <w:keepNext/>
        <w:spacing w:before="120" w:after="60" w:line="24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 1  被扫描项目概况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466"/>
        <w:gridCol w:w="6840"/>
      </w:tblGrid>
      <w:tr>
        <w:trPr>
          <w:trHeight w:val="369"/>
          <w:tblHeader w:val="true"/>
          <w:cantSplit/>
        </w:trPr>
        <w:tc>
          <w:tcPr>
            <w:tcW w:type="dxa" w:w="1466"/>
            <w:shd w:val="clear" w:color="auto" w:fill="F2F2F2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8"/>
                <w:szCs w:val="18"/>
              </w:rPr>
              <w:t>项目</w:t>
            </w:r>
          </w:p>
        </w:tc>
        <w:tc>
          <w:tcPr>
            <w:tcW w:type="dxa" w:w="6840"/>
            <w:shd w:val="clear" w:color="auto" w:fill="F2F2F2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8"/>
                <w:szCs w:val="18"/>
              </w:rPr>
              <w:t>说明</w:t>
            </w:r>
          </w:p>
        </w:tc>
      </w:tr>
      <w:tr>
        <w:trPr>
          <w:trHeight w:val="351"/>
          <w:cantSplit/>
        </w:trPr>
        <w:tc>
          <w:tcPr>
            <w:tcW w:type="dxa" w:w="1466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项目 / 版本</w:t>
            </w:r>
          </w:p>
        </w:tc>
        <w:tc>
          <w:tcPr>
            <w:tcW w:type="dxa" w:w="6840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Apache Dubbo 3.3.6（2025-10-17 发布，3.3.x 最新特性版本）</w:t>
            </w:r>
          </w:p>
        </w:tc>
      </w:tr>
      <w:tr>
        <w:trPr>
          <w:trHeight w:val="351"/>
          <w:cantSplit/>
        </w:trPr>
        <w:tc>
          <w:tcPr>
            <w:tcW w:type="dxa" w:w="1466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社区地位</w:t>
            </w:r>
          </w:p>
        </w:tc>
        <w:tc>
          <w:tcPr>
            <w:tcW w:type="dxa" w:w="6840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ASF 顶级项目（2019 年毕业），项目许可证 Apache-2.0</w:t>
            </w:r>
          </w:p>
        </w:tc>
      </w:tr>
      <w:tr>
        <w:trPr>
          <w:trHeight w:val="351"/>
          <w:cantSplit/>
        </w:trPr>
        <w:tc>
          <w:tcPr>
            <w:tcW w:type="dxa" w:w="1466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项目定位</w:t>
            </w:r>
          </w:p>
        </w:tc>
        <w:tc>
          <w:tcPr>
            <w:tcW w:type="dxa" w:w="6840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Java RPC / 微服务框架；服务发现、流量治理、可观测性、多语言 SDK</w:t>
            </w:r>
          </w:p>
        </w:tc>
      </w:tr>
      <w:tr>
        <w:trPr>
          <w:trHeight w:val="351"/>
          <w:cantSplit/>
        </w:trPr>
        <w:tc>
          <w:tcPr>
            <w:tcW w:type="dxa" w:w="1466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代码规模</w:t>
            </w:r>
          </w:p>
        </w:tc>
        <w:tc>
          <w:tcPr>
            <w:tcW w:type="dxa" w:w="6840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18 个 dubbo-* 模块、116 个 pom.xml、4,758 个文件、约 19.06 MB、405,811 行 Java</w:t>
            </w:r>
          </w:p>
        </w:tc>
      </w:tr>
      <w:tr>
        <w:trPr>
          <w:trHeight w:val="351"/>
          <w:cantSplit/>
        </w:trPr>
        <w:tc>
          <w:tcPr>
            <w:tcW w:type="dxa" w:w="1466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扫描对象</w:t>
            </w:r>
          </w:p>
        </w:tc>
        <w:tc>
          <w:tcPr>
            <w:tcW w:type="dxa" w:w="6840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apache-dubbo-3.3.6-src.zip（7.55 MiB），SHA-512 与 ASF 官方校验文件一致</w:t>
            </w:r>
          </w:p>
        </w:tc>
      </w:tr>
      <w:tr>
        <w:trPr>
          <w:trHeight w:val="351"/>
          <w:cantSplit/>
        </w:trPr>
        <w:tc>
          <w:tcPr>
            <w:tcW w:type="dxa" w:w="1466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选择理由</w:t>
            </w:r>
          </w:p>
        </w:tc>
        <w:tc>
          <w:tcPr>
            <w:tcW w:type="dxa" w:w="6840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社区活跃、模块划分清晰；NOTICE 明确列出 Netty、t-digest、Maven Protobuf Plugin、grpc-java-contrib 等第三方代码，便于验证工具识别与人工复核</w:t>
            </w:r>
          </w:p>
        </w:tc>
      </w:tr>
    </w:tbl>
    <w:p>
      <w:pPr>
        <w:keepNext w:val="0"/>
        <w:spacing w:before="120" w:after="0" w:line="300" w:lineRule="auto"/>
        <w:ind w:firstLine="420" w:firstLineChars="20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本次扫描对象为 ASF 官方发布的源码发行包，而非编译后的二进制分发包；解压后扫描其源码树。选择源码包的原因是：许可证文本、版权头、NOTICE 与构建清单都在包内，能够直接检验项目的许可证声明质量；同时，源码包不包含 Maven 解析后的第三方 JAR，因此本报告的扫描结论主要覆盖“源码树中可见的许可证”，运行时依赖风险将结合项目自带的 .licenserc.yaml 单独讨论。</w:t>
      </w:r>
    </w:p>
    <w:p>
      <w:pPr>
        <w:keepNext w:val="0"/>
        <w:spacing w:before="0" w:after="0" w:line="300" w:lineRule="auto"/>
        <w:ind w:firstLine="420" w:firstLineChars="20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项目根目录的 LICENSE 以 Apache-2.0 为主，并在文末附有 Netty、CIDRUtils（MIT）、Protocol Buffers（BSD-3-Clause）、Istio、Swagger UI、Redoc 等第三方许可证文本；NOTICE 进一步列出了 Netty、t-digest、Maven Protobuf Plugin 与 grpc-java-contrib 等来源。该结构说明 Dubbo 并非“单一 Apache-2.0”项目，而是以 Apache-2.0 为主、少量 MIT/BSD 第三方代码共存的混合许可证项目，这正是本报告分析的重点。</w:t>
      </w:r>
    </w:p>
    <w:p>
      <w:pPr>
        <w:pStyle w:val="Heading1"/>
        <w:keepNext/>
        <w:spacing w:before="240" w:after="120" w:line="300" w:lineRule="auto"/>
        <w:ind w:firstLine="0"/>
        <w:jc w:val="left"/>
      </w:pPr>
      <w:r>
        <w:t>2、工具选型与安装</w:t>
      </w:r>
    </w:p>
    <w:p>
      <w:pPr>
        <w:keepNext w:val="0"/>
        <w:spacing w:before="0" w:after="0" w:line="300" w:lineRule="auto"/>
        <w:ind w:firstLine="420" w:firstLineChars="20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许可证合规工具可分为“源码深度扫描”“依赖/SBOM 解析”“SaaS 合规平台”三类。结合本任务对离线运行、文件级许可证证据、可复现报告和 Windows 本机执行的要求，对四款工具进行了比较，最终选择 Trivy 0.76.1。</w:t>
      </w:r>
    </w:p>
    <w:p>
      <w:pPr>
        <w:keepNext/>
        <w:spacing w:before="120" w:after="60" w:line="24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 2  许可证合规工具选型比较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368"/>
        <w:gridCol w:w="2248"/>
        <w:gridCol w:w="2150"/>
        <w:gridCol w:w="2541"/>
      </w:tblGrid>
      <w:tr>
        <w:trPr>
          <w:trHeight w:val="369"/>
          <w:tblHeader w:val="true"/>
          <w:cantSplit/>
        </w:trPr>
        <w:tc>
          <w:tcPr>
            <w:tcW w:type="dxa" w:w="1368"/>
            <w:shd w:val="clear" w:color="auto" w:fill="F2F2F2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8"/>
                <w:szCs w:val="18"/>
              </w:rPr>
              <w:t>工具</w:t>
            </w:r>
          </w:p>
        </w:tc>
        <w:tc>
          <w:tcPr>
            <w:tcW w:type="dxa" w:w="2248"/>
            <w:shd w:val="clear" w:color="auto" w:fill="F2F2F2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8"/>
                <w:szCs w:val="18"/>
              </w:rPr>
              <w:t>类型 / 能力</w:t>
            </w:r>
          </w:p>
        </w:tc>
        <w:tc>
          <w:tcPr>
            <w:tcW w:type="dxa" w:w="2150"/>
            <w:shd w:val="clear" w:color="auto" w:fill="F2F2F2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8"/>
                <w:szCs w:val="18"/>
              </w:rPr>
              <w:t>优点</w:t>
            </w:r>
          </w:p>
        </w:tc>
        <w:tc>
          <w:tcPr>
            <w:tcW w:type="dxa" w:w="2541"/>
            <w:shd w:val="clear" w:color="auto" w:fill="F2F2F2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8"/>
                <w:szCs w:val="18"/>
              </w:rPr>
              <w:t>不足与结论</w:t>
            </w:r>
          </w:p>
        </w:tc>
      </w:tr>
      <w:tr>
        <w:trPr>
          <w:trHeight w:val="351"/>
          <w:cantSplit/>
        </w:trPr>
        <w:tc>
          <w:tcPr>
            <w:tcW w:type="dxa" w:w="1368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ScanCode 32.5.0</w:t>
            </w:r>
          </w:p>
        </w:tc>
        <w:tc>
          <w:tcPr>
            <w:tcW w:type="dxa" w:w="2248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本地 CLI / 库；文件级许可证、版权、包扫描</w:t>
            </w:r>
          </w:p>
        </w:tc>
        <w:tc>
          <w:tcPr>
            <w:tcW w:type="dxa" w:w="2150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检测深度高，支持 JSON/HTML/SPDX/CycloneDX</w:t>
            </w:r>
          </w:p>
        </w:tc>
        <w:tc>
          <w:tcPr>
            <w:tcW w:type="dxa" w:w="2541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本机 413 MB 许可索引加载过慢，全量扫描启动超过 10 分钟，未作为最终工具</w:t>
            </w:r>
          </w:p>
        </w:tc>
      </w:tr>
      <w:tr>
        <w:trPr>
          <w:trHeight w:val="351"/>
          <w:cantSplit/>
        </w:trPr>
        <w:tc>
          <w:tcPr>
            <w:tcW w:type="dxa" w:w="1368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FOSSology</w:t>
            </w:r>
          </w:p>
        </w:tc>
        <w:tc>
          <w:tcPr>
            <w:tcW w:type="dxa" w:w="2248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Web + 数据库的团队级平台</w:t>
            </w:r>
          </w:p>
        </w:tc>
        <w:tc>
          <w:tcPr>
            <w:tcW w:type="dxa" w:w="2150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适合组织级审计与人工复核</w:t>
            </w:r>
          </w:p>
        </w:tc>
        <w:tc>
          <w:tcPr>
            <w:tcW w:type="dxa" w:w="2541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Windows 本地部署重，需数据库与服务器环境</w:t>
            </w:r>
          </w:p>
        </w:tc>
      </w:tr>
      <w:tr>
        <w:trPr>
          <w:trHeight w:val="351"/>
          <w:cantSplit/>
        </w:trPr>
        <w:tc>
          <w:tcPr>
            <w:tcW w:type="dxa" w:w="1368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ORT</w:t>
            </w:r>
          </w:p>
        </w:tc>
        <w:tc>
          <w:tcPr>
            <w:tcW w:type="dxa" w:w="2248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流水线式依赖解析与合规策略</w:t>
            </w:r>
          </w:p>
        </w:tc>
        <w:tc>
          <w:tcPr>
            <w:tcW w:type="dxa" w:w="2150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与构建系统结合紧密</w:t>
            </w:r>
          </w:p>
        </w:tc>
        <w:tc>
          <w:tcPr>
            <w:tcW w:type="dxa" w:w="2541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配置复杂，依赖解析需完整构建环境</w:t>
            </w:r>
          </w:p>
        </w:tc>
      </w:tr>
      <w:tr>
        <w:trPr>
          <w:trHeight w:val="351"/>
          <w:cantSplit/>
        </w:trPr>
        <w:tc>
          <w:tcPr>
            <w:tcW w:type="dxa" w:w="1368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FOSSA</w:t>
            </w:r>
          </w:p>
        </w:tc>
        <w:tc>
          <w:tcPr>
            <w:tcW w:type="dxa" w:w="2248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SaaS 合规平台</w:t>
            </w:r>
          </w:p>
        </w:tc>
        <w:tc>
          <w:tcPr>
            <w:tcW w:type="dxa" w:w="2150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开箱即用、报告友好</w:t>
            </w:r>
          </w:p>
        </w:tc>
        <w:tc>
          <w:tcPr>
            <w:tcW w:type="dxa" w:w="2541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需要账号/Token 与代码上传，离线不可用</w:t>
            </w:r>
          </w:p>
        </w:tc>
      </w:tr>
      <w:tr>
        <w:trPr>
          <w:trHeight w:val="351"/>
          <w:cantSplit/>
        </w:trPr>
        <w:tc>
          <w:tcPr>
            <w:tcW w:type="dxa" w:w="1368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Trivy 0.76.1</w:t>
            </w:r>
          </w:p>
        </w:tc>
        <w:tc>
          <w:tcPr>
            <w:tcW w:type="dxa" w:w="2248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单文件 CLI；--license-full 扫描源码头与许可证文件</w:t>
            </w:r>
          </w:p>
        </w:tc>
        <w:tc>
          <w:tcPr>
            <w:tcW w:type="dxa" w:w="2150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10.4 s 完成 4,758 个文件；JSON 结果含文件路径、置信度、类别</w:t>
            </w:r>
          </w:p>
        </w:tc>
        <w:tc>
          <w:tcPr>
            <w:tcW w:type="dxa" w:w="2541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依赖解析能力弱；默认 severity 仅为策略映射，需人工解释</w:t>
            </w:r>
          </w:p>
        </w:tc>
      </w:tr>
    </w:tbl>
    <w:p>
      <w:pPr>
        <w:keepNext w:val="0"/>
        <w:spacing w:before="120" w:after="0" w:line="300" w:lineRule="auto"/>
        <w:ind w:firstLine="420" w:firstLineChars="20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选择 Trivy 的关键原因是其 --license-full 模式能够直接读取源码文件头与 LICENSE/NOTICE 文本，输出“许可证名称 + 文件路径 + 置信度”的文件级证据，而不是只给出包级汇总；JSON 结果便于二次统计与复核。其不足也很明确：不解析 Maven 传递依赖，许可证 severity 默认全部映射为 LOW，不能直接等同于法律风险等级。因此本报告把工具结果与人工复核结合使用。</w:t>
      </w:r>
    </w:p>
    <w:p>
      <w:pPr>
        <w:pStyle w:val="Heading2"/>
        <w:keepNext/>
        <w:spacing w:before="180" w:after="60" w:line="300" w:lineRule="auto"/>
        <w:ind w:firstLine="0"/>
        <w:jc w:val="left"/>
      </w:pPr>
      <w:r>
        <w:t>2.1 安装与环境</w:t>
      </w:r>
    </w:p>
    <w:p>
      <w:pPr>
        <w:keepNext w:val="0"/>
        <w:spacing w:before="0" w:after="0" w:line="300" w:lineRule="auto"/>
        <w:ind w:firstLine="420" w:firstLineChars="20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环境：Windows x64、Trivy 0.76.1（单文件可执行程序），扫描日期 2026-10-22 10:11:40—10:11:50（UTC+8）。安装过程如下：</w:t>
      </w:r>
    </w:p>
    <w:p>
      <w:pPr>
        <w:pStyle w:val="ListNumber"/>
        <w:keepNext w:val="0"/>
        <w:spacing w:before="0" w:after="0" w:line="300" w:lineRule="auto"/>
        <w:ind w:left="510" w:hanging="255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从 GitHub Releases 下载 trivy_0.76.1_windows-64bit.zip，解压得到 trivy.exe，无需管理员权限；</w:t>
      </w:r>
    </w:p>
    <w:p>
      <w:pPr>
        <w:pStyle w:val="ListNumber"/>
        <w:keepNext w:val="0"/>
        <w:spacing w:before="0" w:after="0" w:line="300" w:lineRule="auto"/>
        <w:ind w:left="510" w:hanging="255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执行 trivy --version，确认版本为 0.76.1；</w:t>
      </w:r>
    </w:p>
    <w:p>
      <w:pPr>
        <w:pStyle w:val="ListNumber"/>
        <w:keepNext w:val="0"/>
        <w:spacing w:before="0" w:after="0" w:line="300" w:lineRule="auto"/>
        <w:ind w:left="510" w:hanging="255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将 TRIVY_CACHE_DIR 指向工作区目录，避免受控账户对用户 AppData 缓存目录的写入限制；</w:t>
      </w:r>
    </w:p>
    <w:p>
      <w:pPr>
        <w:pStyle w:val="ListNumber"/>
        <w:keepNext w:val="0"/>
        <w:spacing w:before="0" w:after="0" w:line="300" w:lineRule="auto"/>
        <w:ind w:left="510" w:hanging="255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首次直接执行全量扫描时，Trivy 尝试解析 Maven POM 并访问 Maven Central，触发 HTTP 429，扫描中止；</w:t>
      </w:r>
    </w:p>
    <w:p>
      <w:pPr>
        <w:pStyle w:val="ListNumber"/>
        <w:keepNext w:val="0"/>
        <w:spacing w:before="0" w:after="0" w:line="300" w:lineRule="auto"/>
        <w:ind w:left="510" w:hanging="255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改用 --offline-scan 并跳过 **/pom.xml，只做源码级许可证扫描，扫描在 10.4 s 内完成。</w:t>
      </w:r>
    </w:p>
    <w:p>
      <w:pPr>
        <w:keepNext/>
        <w:spacing w:before="120" w:after="60" w:line="24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 3  安装与运行中遇到的问题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368"/>
        <w:gridCol w:w="2492"/>
        <w:gridCol w:w="2345"/>
        <w:gridCol w:w="2101"/>
      </w:tblGrid>
      <w:tr>
        <w:trPr>
          <w:trHeight w:val="369"/>
          <w:tblHeader w:val="true"/>
          <w:cantSplit/>
        </w:trPr>
        <w:tc>
          <w:tcPr>
            <w:tcW w:type="dxa" w:w="1368"/>
            <w:shd w:val="clear" w:color="auto" w:fill="F2F2F2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8"/>
                <w:szCs w:val="18"/>
              </w:rPr>
              <w:t>问题</w:t>
            </w:r>
          </w:p>
        </w:tc>
        <w:tc>
          <w:tcPr>
            <w:tcW w:type="dxa" w:w="2492"/>
            <w:shd w:val="clear" w:color="auto" w:fill="F2F2F2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8"/>
                <w:szCs w:val="18"/>
              </w:rPr>
              <w:t>现象</w:t>
            </w:r>
          </w:p>
        </w:tc>
        <w:tc>
          <w:tcPr>
            <w:tcW w:type="dxa" w:w="2345"/>
            <w:shd w:val="clear" w:color="auto" w:fill="F2F2F2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8"/>
                <w:szCs w:val="18"/>
              </w:rPr>
              <w:t>原因</w:t>
            </w:r>
          </w:p>
        </w:tc>
        <w:tc>
          <w:tcPr>
            <w:tcW w:type="dxa" w:w="2101"/>
            <w:shd w:val="clear" w:color="auto" w:fill="F2F2F2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8"/>
                <w:szCs w:val="18"/>
              </w:rPr>
              <w:t>解决</w:t>
            </w:r>
          </w:p>
        </w:tc>
      </w:tr>
      <w:tr>
        <w:trPr>
          <w:trHeight w:val="351"/>
          <w:cantSplit/>
        </w:trPr>
        <w:tc>
          <w:tcPr>
            <w:tcW w:type="dxa" w:w="1368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Maven Central 429</w:t>
            </w:r>
          </w:p>
        </w:tc>
        <w:tc>
          <w:tcPr>
            <w:tcW w:type="dxa" w:w="2492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FATAL：remote Maven repository returned 429 Too Many Requests</w:t>
            </w:r>
          </w:p>
        </w:tc>
        <w:tc>
          <w:tcPr>
            <w:tcW w:type="dxa" w:w="2345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POM 依赖解析访问远端仓库，触发限流</w:t>
            </w:r>
          </w:p>
        </w:tc>
        <w:tc>
          <w:tcPr>
            <w:tcW w:type="dxa" w:w="2101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加 --offline-scan，并用 --skip-files "**/pom.xml" 跳过 POM</w:t>
            </w:r>
          </w:p>
        </w:tc>
      </w:tr>
      <w:tr>
        <w:trPr>
          <w:trHeight w:val="351"/>
          <w:cantSplit/>
        </w:trPr>
        <w:tc>
          <w:tcPr>
            <w:tcW w:type="dxa" w:w="1368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默认扫描不完整</w:t>
            </w:r>
          </w:p>
        </w:tc>
        <w:tc>
          <w:tcPr>
            <w:tcW w:type="dxa" w:w="2492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只报告 LICENSE 与包清单，源码头未覆盖</w:t>
            </w:r>
          </w:p>
        </w:tc>
        <w:tc>
          <w:tcPr>
            <w:tcW w:type="dxa" w:w="2345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未启用 --license-full</w:t>
            </w:r>
          </w:p>
        </w:tc>
        <w:tc>
          <w:tcPr>
            <w:tcW w:type="dxa" w:w="2101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加 --license-full，扫描源码头与许可证文件</w:t>
            </w:r>
          </w:p>
        </w:tc>
      </w:tr>
      <w:tr>
        <w:trPr>
          <w:trHeight w:val="351"/>
          <w:cantSplit/>
        </w:trPr>
        <w:tc>
          <w:tcPr>
            <w:tcW w:type="dxa" w:w="1368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依赖信息缺失</w:t>
            </w:r>
          </w:p>
        </w:tc>
        <w:tc>
          <w:tcPr>
            <w:tcW w:type="dxa" w:w="2492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输出 Number of language-specific files num=0</w:t>
            </w:r>
          </w:p>
        </w:tc>
        <w:tc>
          <w:tcPr>
            <w:tcW w:type="dxa" w:w="2345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跳过 POM 后不做依赖解析</w:t>
            </w:r>
          </w:p>
        </w:tc>
        <w:tc>
          <w:tcPr>
            <w:tcW w:type="dxa" w:w="2101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用 .licenserc.yaml 的 67 项声明补足运行时视角</w:t>
            </w:r>
          </w:p>
        </w:tc>
      </w:tr>
      <w:tr>
        <w:trPr>
          <w:trHeight w:val="351"/>
          <w:cantSplit/>
        </w:trPr>
        <w:tc>
          <w:tcPr>
            <w:tcW w:type="dxa" w:w="1368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表格输出乱码</w:t>
            </w:r>
          </w:p>
        </w:tc>
        <w:tc>
          <w:tcPr>
            <w:tcW w:type="dxa" w:w="2492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控制台 box-drawing 字符显示为乱码</w:t>
            </w:r>
          </w:p>
        </w:tc>
        <w:tc>
          <w:tcPr>
            <w:tcW w:type="dxa" w:w="2345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Windows 控制台代码页与 UTF-8 不一致</w:t>
            </w:r>
          </w:p>
        </w:tc>
        <w:tc>
          <w:tcPr>
            <w:tcW w:type="dxa" w:w="2101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以 JSON 为主，另生成 UTF-8 的 HTML 整理稿</w:t>
            </w:r>
          </w:p>
        </w:tc>
      </w:tr>
    </w:tbl>
    <w:p>
      <w:pPr>
        <w:keepNext w:val="0"/>
        <w:spacing w:before="120" w:after="0" w:line="300" w:lineRule="auto"/>
        <w:ind w:firstLine="420" w:firstLineChars="20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最终使用的扫描命令（PowerShell，单行）：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306"/>
      </w:tblGrid>
      <w:tr>
        <w:trPr>
          <w:cantSplit/>
        </w:trPr>
        <w:tc>
          <w:tcPr>
            <w:tcW w:type="dxa" w:w="8306"/>
            <w:shd w:val="clear" w:color="auto" w:fill="F7F7F7"/>
            <w:tcMar>
              <w:top w:w="0" w:type="dxa"/>
              <w:start w:w="100" w:type="dxa"/>
              <w:bottom w:w="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宋体" w:cs="Consolas"/>
                <w:color w:val="000000"/>
                <w:sz w:val="17"/>
                <w:szCs w:val="17"/>
              </w:rPr>
              <w:t>trivy fs --scanners license --license-full --offline-scan --skip-files "**/pom.xml" --format json --output output/trivy_dubbo.json data/dubbo-src/apache-dubbo-3.3.6-src</w:t>
            </w:r>
          </w:p>
        </w:tc>
      </w:tr>
    </w:tbl>
    <w:p>
      <w:pPr>
        <w:keepNext w:val="0"/>
        <w:spacing w:before="120" w:after="0" w:line="300" w:lineRule="auto"/>
        <w:ind w:firstLine="420" w:firstLineChars="20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需要说明：跳过 pom.xml 是为了绕开 Maven 远端解析，不影响源码文件头与 LICENSE/NOTICE 的许可证识别；但这也意味着本报告不覆盖 Maven 传递依赖，后文将用 .licenserc.yaml 的 67 项依赖声明补足运行时视角。</w:t>
      </w:r>
    </w:p>
    <w:p>
      <w:pPr>
        <w:pStyle w:val="Heading1"/>
        <w:keepNext/>
        <w:spacing w:before="240" w:after="120" w:line="300" w:lineRule="auto"/>
        <w:ind w:firstLine="0"/>
        <w:jc w:val="left"/>
      </w:pPr>
      <w:r>
        <w:t>3、工具输出的检测报告</w:t>
      </w:r>
    </w:p>
    <w:p>
      <w:pPr>
        <w:keepNext w:val="0"/>
        <w:spacing w:before="0" w:after="0" w:line="300" w:lineRule="auto"/>
        <w:ind w:firstLine="420" w:firstLineChars="20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Trivy 对 4,758 个文件、约 19.06 MB 的源码树执行扫描（跳过 116 个 pom.xml），共输出 3,981 条许可证记录，覆盖 3,979 个文件；识别出 Apache-2.0、MIT、BSD-3-Clause 三种许可证。Java 文件覆盖率为 99.97%（3,976/3,977），仅有 1 个 Java 文件未被识别。</w:t>
      </w:r>
    </w:p>
    <w:p>
      <w:pPr>
        <w:keepNext/>
        <w:spacing w:before="120" w:after="60" w:line="24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 4  工具输出总体统计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563"/>
        <w:gridCol w:w="6743"/>
      </w:tblGrid>
      <w:tr>
        <w:trPr>
          <w:trHeight w:val="369"/>
          <w:tblHeader w:val="true"/>
          <w:cantSplit/>
        </w:trPr>
        <w:tc>
          <w:tcPr>
            <w:tcW w:type="dxa" w:w="1563"/>
            <w:shd w:val="clear" w:color="auto" w:fill="F2F2F2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8"/>
                <w:szCs w:val="18"/>
              </w:rPr>
              <w:t>指标</w:t>
            </w:r>
          </w:p>
        </w:tc>
        <w:tc>
          <w:tcPr>
            <w:tcW w:type="dxa" w:w="6743"/>
            <w:shd w:val="clear" w:color="auto" w:fill="F2F2F2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8"/>
                <w:szCs w:val="18"/>
              </w:rPr>
              <w:t>结果</w:t>
            </w:r>
          </w:p>
        </w:tc>
      </w:tr>
      <w:tr>
        <w:trPr>
          <w:trHeight w:val="283"/>
          <w:cantSplit/>
        </w:trPr>
        <w:tc>
          <w:tcPr>
            <w:tcW w:type="dxa" w:w="1563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扫描对象</w:t>
            </w:r>
          </w:p>
        </w:tc>
        <w:tc>
          <w:tcPr>
            <w:tcW w:type="dxa" w:w="6743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4,758 个文件 / 19.06 MB；3,977 个 Java 文件</w:t>
            </w:r>
          </w:p>
        </w:tc>
      </w:tr>
      <w:tr>
        <w:trPr>
          <w:trHeight w:val="283"/>
          <w:cantSplit/>
        </w:trPr>
        <w:tc>
          <w:tcPr>
            <w:tcW w:type="dxa" w:w="1563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许可证记录</w:t>
            </w:r>
          </w:p>
        </w:tc>
        <w:tc>
          <w:tcPr>
            <w:tcW w:type="dxa" w:w="6743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3,981 条，覆盖 3,979 个文件（同一文件可含多条）</w:t>
            </w:r>
          </w:p>
        </w:tc>
      </w:tr>
      <w:tr>
        <w:trPr>
          <w:trHeight w:val="283"/>
          <w:cantSplit/>
        </w:trPr>
        <w:tc>
          <w:tcPr>
            <w:tcW w:type="dxa" w:w="1563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许可证种类</w:t>
            </w:r>
          </w:p>
        </w:tc>
        <w:tc>
          <w:tcPr>
            <w:tcW w:type="dxa" w:w="6743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Apache-2.0（3,975 条）、MIT（4 条）、BSD-3-Clause（2 条）</w:t>
            </w:r>
          </w:p>
        </w:tc>
      </w:tr>
      <w:tr>
        <w:trPr>
          <w:trHeight w:val="283"/>
          <w:cantSplit/>
        </w:trPr>
        <w:tc>
          <w:tcPr>
            <w:tcW w:type="dxa" w:w="1563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Java 覆盖</w:t>
            </w:r>
          </w:p>
        </w:tc>
        <w:tc>
          <w:tcPr>
            <w:tcW w:type="dxa" w:w="6743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3,976 / 3,977（99.97%）；仅 ProtoTypeMap.java 未被识别</w:t>
            </w:r>
          </w:p>
        </w:tc>
      </w:tr>
      <w:tr>
        <w:trPr>
          <w:trHeight w:val="283"/>
          <w:cantSplit/>
        </w:trPr>
        <w:tc>
          <w:tcPr>
            <w:tcW w:type="dxa" w:w="1563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识别置信度</w:t>
            </w:r>
          </w:p>
        </w:tc>
        <w:tc>
          <w:tcPr>
            <w:tcW w:type="dxa" w:w="6743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0.917—1.000；类别均为 notice，severity 均为 LOW</w:t>
            </w:r>
          </w:p>
        </w:tc>
      </w:tr>
      <w:tr>
        <w:trPr>
          <w:trHeight w:val="283"/>
          <w:cantSplit/>
        </w:trPr>
        <w:tc>
          <w:tcPr>
            <w:tcW w:type="dxa" w:w="1563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扫描耗时</w:t>
            </w:r>
          </w:p>
        </w:tc>
        <w:tc>
          <w:tcPr>
            <w:tcW w:type="dxa" w:w="6743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10.4 s（Trivy 0.76.1，Windows x64，离线扫描）</w:t>
            </w:r>
          </w:p>
        </w:tc>
      </w:tr>
    </w:tbl>
    <w:p>
      <w:pPr>
        <w:keepNext/>
        <w:spacing w:before="120" w:after="60" w:line="24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 5  许可证分布与关键文件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412"/>
        <w:gridCol w:w="914"/>
        <w:gridCol w:w="1080"/>
        <w:gridCol w:w="2492"/>
        <w:gridCol w:w="2409"/>
      </w:tblGrid>
      <w:tr>
        <w:trPr>
          <w:trHeight w:val="369"/>
          <w:tblHeader w:val="true"/>
          <w:cantSplit/>
        </w:trPr>
        <w:tc>
          <w:tcPr>
            <w:tcW w:type="dxa" w:w="1412"/>
            <w:shd w:val="clear" w:color="auto" w:fill="F2F2F2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8"/>
                <w:szCs w:val="18"/>
              </w:rPr>
              <w:t>SPDX 标识</w:t>
            </w:r>
          </w:p>
        </w:tc>
        <w:tc>
          <w:tcPr>
            <w:tcW w:type="dxa" w:w="914"/>
            <w:shd w:val="clear" w:color="auto" w:fill="F2F2F2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8"/>
                <w:szCs w:val="18"/>
              </w:rPr>
              <w:t>检出条目</w:t>
            </w:r>
          </w:p>
        </w:tc>
        <w:tc>
          <w:tcPr>
            <w:tcW w:type="dxa" w:w="1080"/>
            <w:shd w:val="clear" w:color="auto" w:fill="F2F2F2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8"/>
                <w:szCs w:val="18"/>
              </w:rPr>
              <w:t>Java 文件</w:t>
            </w:r>
          </w:p>
        </w:tc>
        <w:tc>
          <w:tcPr>
            <w:tcW w:type="dxa" w:w="2492"/>
            <w:shd w:val="clear" w:color="auto" w:fill="F2F2F2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8"/>
                <w:szCs w:val="18"/>
              </w:rPr>
              <w:t>主要位置</w:t>
            </w:r>
          </w:p>
        </w:tc>
        <w:tc>
          <w:tcPr>
            <w:tcW w:type="dxa" w:w="2409"/>
            <w:shd w:val="clear" w:color="auto" w:fill="F2F2F2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8"/>
                <w:szCs w:val="18"/>
              </w:rPr>
              <w:t>核心义务</w:t>
            </w:r>
          </w:p>
        </w:tc>
      </w:tr>
      <w:tr>
        <w:trPr>
          <w:trHeight w:val="351"/>
          <w:cantSplit/>
        </w:trPr>
        <w:tc>
          <w:tcPr>
            <w:tcW w:type="dxa" w:w="1412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Apache-2.0</w:t>
            </w:r>
          </w:p>
        </w:tc>
        <w:tc>
          <w:tcPr>
            <w:tcW w:type="dxa" w:w="914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3,975</w:t>
            </w:r>
          </w:p>
        </w:tc>
        <w:tc>
          <w:tcPr>
            <w:tcW w:type="dxa" w:w="1080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3,972</w:t>
            </w:r>
          </w:p>
        </w:tc>
        <w:tc>
          <w:tcPr>
            <w:tcW w:type="dxa" w:w="2492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LICENSE、绝大多数 Java 文件</w:t>
            </w:r>
          </w:p>
        </w:tc>
        <w:tc>
          <w:tcPr>
            <w:tcW w:type="dxa" w:w="2409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保留版权、LICENSE、NOTICE；修改文件需标注</w:t>
            </w:r>
          </w:p>
        </w:tc>
      </w:tr>
      <w:tr>
        <w:trPr>
          <w:trHeight w:val="351"/>
          <w:cantSplit/>
        </w:trPr>
        <w:tc>
          <w:tcPr>
            <w:tcW w:type="dxa" w:w="1412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MIT</w:t>
            </w:r>
          </w:p>
        </w:tc>
        <w:tc>
          <w:tcPr>
            <w:tcW w:type="dxa" w:w="914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type="dxa" w:w="1080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type="dxa" w:w="2492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FormattingTuple.java、MessageFormatter.java、CIDRUtils.java、LICENSE</w:t>
            </w:r>
          </w:p>
        </w:tc>
        <w:tc>
          <w:tcPr>
            <w:tcW w:type="dxa" w:w="2409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保留版权与许可声明</w:t>
            </w:r>
          </w:p>
        </w:tc>
      </w:tr>
      <w:tr>
        <w:trPr>
          <w:trHeight w:val="351"/>
          <w:cantSplit/>
        </w:trPr>
        <w:tc>
          <w:tcPr>
            <w:tcW w:type="dxa" w:w="1412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BSD-3-Clause</w:t>
            </w:r>
          </w:p>
        </w:tc>
        <w:tc>
          <w:tcPr>
            <w:tcW w:type="dxa" w:w="914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type="dxa" w:w="1080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type="dxa" w:w="2492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Utf8Utils.java、LICENSE</w:t>
            </w:r>
          </w:p>
        </w:tc>
        <w:tc>
          <w:tcPr>
            <w:tcW w:type="dxa" w:w="2409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保留版权、三项条件与免责声明；不得背书</w:t>
            </w:r>
          </w:p>
        </w:tc>
      </w:tr>
      <w:tr>
        <w:trPr>
          <w:trHeight w:val="351"/>
          <w:cantSplit/>
        </w:trPr>
        <w:tc>
          <w:tcPr>
            <w:tcW w:type="dxa" w:w="1412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未识别</w:t>
            </w:r>
          </w:p>
        </w:tc>
        <w:tc>
          <w:tcPr>
            <w:tcW w:type="dxa" w:w="914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type="dxa" w:w="1080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type="dxa" w:w="2492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ProtoTypeMap.java（人工复核为 BSD-3-Clause）</w:t>
            </w:r>
          </w:p>
        </w:tc>
        <w:tc>
          <w:tcPr>
            <w:tcW w:type="dxa" w:w="2409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补全 BSD-3-Clause 全文并修正引用</w:t>
            </w:r>
          </w:p>
        </w:tc>
      </w:tr>
    </w:tbl>
    <w:p>
      <w:pPr>
        <w:keepNext w:val="0"/>
        <w:spacing w:before="120" w:after="0" w:line="300" w:lineRule="auto"/>
        <w:ind w:firstLine="420" w:firstLineChars="20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从 Java 文件构成看，3,972 个文件为 Apache-2.0 单许可，3 个文件为 MIT 单许可（FormattingTuple.java、MessageFormatter.java、CIDRUtils.java），1 个文件为 BSD-3-Clause 单许可（Utf8Utils.java），1 个文件未识别（ProtoTypeMap.java）。这一分布与项目“Apache-2.0 为主、少量第三方兼容许可”的定位一致。</w:t>
      </w:r>
    </w:p>
    <w:p>
      <w:pPr>
        <w:keepNext/>
        <w:spacing w:before="120" w:after="60" w:line="24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 6  第三方关键文件复核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955"/>
        <w:gridCol w:w="2248"/>
        <w:gridCol w:w="2149"/>
        <w:gridCol w:w="1955"/>
      </w:tblGrid>
      <w:tr>
        <w:trPr>
          <w:trHeight w:val="369"/>
          <w:tblHeader w:val="true"/>
          <w:cantSplit/>
        </w:trPr>
        <w:tc>
          <w:tcPr>
            <w:tcW w:type="dxa" w:w="1955"/>
            <w:shd w:val="clear" w:color="auto" w:fill="F2F2F2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8"/>
                <w:szCs w:val="18"/>
              </w:rPr>
              <w:t>文件</w:t>
            </w:r>
          </w:p>
        </w:tc>
        <w:tc>
          <w:tcPr>
            <w:tcW w:type="dxa" w:w="2248"/>
            <w:shd w:val="clear" w:color="auto" w:fill="F2F2F2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8"/>
                <w:szCs w:val="18"/>
              </w:rPr>
              <w:t>工具结果</w:t>
            </w:r>
          </w:p>
        </w:tc>
        <w:tc>
          <w:tcPr>
            <w:tcW w:type="dxa" w:w="2149"/>
            <w:shd w:val="clear" w:color="auto" w:fill="F2F2F2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8"/>
                <w:szCs w:val="18"/>
              </w:rPr>
              <w:t>版权 / 来源</w:t>
            </w:r>
          </w:p>
        </w:tc>
        <w:tc>
          <w:tcPr>
            <w:tcW w:type="dxa" w:w="1955"/>
            <w:shd w:val="clear" w:color="auto" w:fill="F2F2F2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8"/>
                <w:szCs w:val="18"/>
              </w:rPr>
              <w:t>合规判断</w:t>
            </w:r>
          </w:p>
        </w:tc>
      </w:tr>
      <w:tr>
        <w:trPr>
          <w:trHeight w:val="351"/>
          <w:cantSplit/>
        </w:trPr>
        <w:tc>
          <w:tcPr>
            <w:tcW w:type="dxa" w:w="1955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ProtoTypeMap.java</w:t>
            </w:r>
          </w:p>
        </w:tc>
        <w:tc>
          <w:tcPr>
            <w:tcW w:type="dxa" w:w="2248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无记录（0 条）</w:t>
            </w:r>
          </w:p>
        </w:tc>
        <w:tc>
          <w:tcPr>
            <w:tcW w:type="dxa" w:w="2149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Salesforce 2019</w:t>
            </w:r>
          </w:p>
        </w:tc>
        <w:tc>
          <w:tcPr>
            <w:tcW w:type="dxa" w:w="1955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BSD-3-Clause；工具漏检，人工补录</w:t>
            </w:r>
          </w:p>
        </w:tc>
      </w:tr>
      <w:tr>
        <w:trPr>
          <w:trHeight w:val="351"/>
          <w:cantSplit/>
        </w:trPr>
        <w:tc>
          <w:tcPr>
            <w:tcW w:type="dxa" w:w="1955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Utf8Utils.java</w:t>
            </w:r>
          </w:p>
        </w:tc>
        <w:tc>
          <w:tcPr>
            <w:tcW w:type="dxa" w:w="2248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BSD-3-Clause（0.981）</w:t>
            </w:r>
          </w:p>
        </w:tc>
        <w:tc>
          <w:tcPr>
            <w:tcW w:type="dxa" w:w="2149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Google 2008</w:t>
            </w:r>
          </w:p>
        </w:tc>
        <w:tc>
          <w:tcPr>
            <w:tcW w:type="dxa" w:w="1955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与 LICENSE 中 Protocol Buffers BSD 文本一致</w:t>
            </w:r>
          </w:p>
        </w:tc>
      </w:tr>
      <w:tr>
        <w:trPr>
          <w:trHeight w:val="351"/>
          <w:cantSplit/>
        </w:trPr>
        <w:tc>
          <w:tcPr>
            <w:tcW w:type="dxa" w:w="1955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CIDRUtils.java</w:t>
            </w:r>
          </w:p>
        </w:tc>
        <w:tc>
          <w:tcPr>
            <w:tcW w:type="dxa" w:w="2248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MIT（1.000）</w:t>
            </w:r>
          </w:p>
        </w:tc>
        <w:tc>
          <w:tcPr>
            <w:tcW w:type="dxa" w:w="2149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Edin Dazdarevic 2013</w:t>
            </w:r>
          </w:p>
        </w:tc>
        <w:tc>
          <w:tcPr>
            <w:tcW w:type="dxa" w:w="1955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与 LICENSE 中 MIT 文本一致</w:t>
            </w:r>
          </w:p>
        </w:tc>
      </w:tr>
      <w:tr>
        <w:trPr>
          <w:trHeight w:val="351"/>
          <w:cantSplit/>
        </w:trPr>
        <w:tc>
          <w:tcPr>
            <w:tcW w:type="dxa" w:w="1955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FormattingTuple / MessageFormatter</w:t>
            </w:r>
          </w:p>
        </w:tc>
        <w:tc>
          <w:tcPr>
            <w:tcW w:type="dxa" w:w="2248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MIT（1.000）</w:t>
            </w:r>
          </w:p>
        </w:tc>
        <w:tc>
          <w:tcPr>
            <w:tcW w:type="dxa" w:w="2149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QOS.ch 2004—2011</w:t>
            </w:r>
          </w:p>
        </w:tc>
        <w:tc>
          <w:tcPr>
            <w:tcW w:type="dxa" w:w="1955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SLF4J 派生代码；保留文件头声明</w:t>
            </w:r>
          </w:p>
        </w:tc>
      </w:tr>
    </w:tbl>
    <w:p>
      <w:pPr>
        <w:keepNext w:val="0"/>
        <w:spacing w:before="120" w:after="0" w:line="300" w:lineRule="auto"/>
        <w:ind w:firstLine="420" w:firstLineChars="20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工具原始 JSON 的典型记录如下（Utf8Utils.java，BSD-3-Clause，置信度 0.981）：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306"/>
      </w:tblGrid>
      <w:tr>
        <w:trPr>
          <w:cantSplit/>
        </w:trPr>
        <w:tc>
          <w:tcPr>
            <w:tcW w:type="dxa" w:w="8306"/>
            <w:shd w:val="clear" w:color="auto" w:fill="F7F7F7"/>
            <w:tcMar>
              <w:top w:w="0" w:type="dxa"/>
              <w:start w:w="100" w:type="dxa"/>
              <w:bottom w:w="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宋体" w:cs="Consolas"/>
                <w:color w:val="000000"/>
                <w:sz w:val="17"/>
                <w:szCs w:val="17"/>
              </w:rPr>
              <w:t>{</w:t>
              <w:br/>
              <w:t xml:space="preserve">  "Name": "BSD-3-Clause",</w:t>
              <w:br/>
              <w:t xml:space="preserve">  "FilePath": "dubbo-common/src/main/java/org/apache/dubbo/common/utils/Utf8Utils.java",</w:t>
              <w:br/>
              <w:t xml:space="preserve">  "Confidence": 0.9812,</w:t>
              <w:br/>
              <w:t xml:space="preserve">  "Category": "notice",</w:t>
              <w:br/>
              <w:t xml:space="preserve">  "Severity": "LOW"</w:t>
              <w:br/>
              <w:t>}</w:t>
            </w:r>
          </w:p>
        </w:tc>
      </w:tr>
    </w:tbl>
    <w:p>
      <w:pPr>
        <w:keepNext w:val="0"/>
        <w:spacing w:before="120" w:after="0" w:line="300" w:lineRule="auto"/>
        <w:ind w:firstLine="420" w:firstLineChars="20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原始结果已保存为 output/trivy_dubbo.json（约 1.57 MB）；同时生成 UTF-8 的 HTML 整理稿，完整列出 3,981 条记录及文件路径，便于逐条复核。</w:t>
      </w:r>
    </w:p>
    <w:p>
      <w:pPr>
        <w:pStyle w:val="Heading1"/>
        <w:keepNext/>
        <w:spacing w:before="240" w:after="120" w:line="300" w:lineRule="auto"/>
        <w:ind w:firstLine="0"/>
        <w:jc w:val="left"/>
      </w:pPr>
      <w:r>
        <w:t>4、检测结果分析</w:t>
      </w:r>
    </w:p>
    <w:p>
      <w:pPr>
        <w:keepNext w:val="0"/>
        <w:spacing w:before="0" w:after="0" w:line="300" w:lineRule="auto"/>
        <w:ind w:firstLine="420" w:firstLineChars="20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以下从许可证义务、兼容性、工具漏检和运行时依赖四个角度分析。需要强调：Trivy 将三类许可证的 severity 都标为 LOW，这是其默认策略映射，并不代表 BSD 的署名义务可以忽略；许可证合规的核心是“义务是否被满足”，而不是工具给出的等级。</w:t>
      </w:r>
    </w:p>
    <w:p>
      <w:pPr>
        <w:keepNext/>
        <w:spacing w:before="120" w:after="60" w:line="24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 7  主要许可证义务与 Dubbo 的对应关系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416"/>
        <w:gridCol w:w="3681"/>
        <w:gridCol w:w="2548"/>
        <w:gridCol w:w="661"/>
      </w:tblGrid>
      <w:tr>
        <w:trPr>
          <w:trHeight w:val="369"/>
          <w:tblHeader w:val="true"/>
          <w:cantSplit/>
        </w:trPr>
        <w:tc>
          <w:tcPr>
            <w:tcW w:type="dxa" w:w="1416"/>
            <w:shd w:val="clear" w:color="auto" w:fill="F2F2F2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8"/>
                <w:szCs w:val="18"/>
              </w:rPr>
              <w:t>许可证</w:t>
            </w:r>
          </w:p>
        </w:tc>
        <w:tc>
          <w:tcPr>
            <w:tcW w:type="dxa" w:w="3681"/>
            <w:shd w:val="clear" w:color="auto" w:fill="F2F2F2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8"/>
                <w:szCs w:val="18"/>
              </w:rPr>
              <w:t>核心义务</w:t>
            </w:r>
          </w:p>
        </w:tc>
        <w:tc>
          <w:tcPr>
            <w:tcW w:type="dxa" w:w="2548"/>
            <w:shd w:val="clear" w:color="auto" w:fill="F2F2F2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8"/>
                <w:szCs w:val="18"/>
              </w:rPr>
              <w:t>Dubbo 现状</w:t>
            </w:r>
          </w:p>
        </w:tc>
        <w:tc>
          <w:tcPr>
            <w:tcW w:type="dxa" w:w="661"/>
            <w:shd w:val="clear" w:color="auto" w:fill="F2F2F2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8"/>
                <w:szCs w:val="18"/>
              </w:rPr>
              <w:t>风险</w:t>
            </w:r>
          </w:p>
        </w:tc>
      </w:tr>
      <w:tr>
        <w:trPr>
          <w:trHeight w:val="397"/>
          <w:cantSplit/>
        </w:trPr>
        <w:tc>
          <w:tcPr>
            <w:tcW w:type="dxa" w:w="1416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Apache-2.0</w:t>
            </w:r>
          </w:p>
        </w:tc>
        <w:tc>
          <w:tcPr>
            <w:tcW w:type="dxa" w:w="3681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提供 LICENSE；保留 NOTICE；修改文件加显著变更说明；保留专利/商标/归属声明；商标不得暗示背书</w:t>
            </w:r>
          </w:p>
        </w:tc>
        <w:tc>
          <w:tcPr>
            <w:tcW w:type="dxa" w:w="2548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根 LICENSE、NOTICE 齐全；3,972 个 Java 文件识别为 Apache-2.0，其中 3,940 个保留 ASF 头（人工核对）</w:t>
            </w:r>
          </w:p>
        </w:tc>
        <w:tc>
          <w:tcPr>
            <w:tcW w:type="dxa" w:w="661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低</w:t>
            </w:r>
          </w:p>
        </w:tc>
      </w:tr>
      <w:tr>
        <w:trPr>
          <w:trHeight w:val="397"/>
          <w:cantSplit/>
        </w:trPr>
        <w:tc>
          <w:tcPr>
            <w:tcW w:type="dxa" w:w="1416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MIT</w:t>
            </w:r>
          </w:p>
        </w:tc>
        <w:tc>
          <w:tcPr>
            <w:tcW w:type="dxa" w:w="3681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在副本或实质性部分中保留版权声明与许可声明</w:t>
            </w:r>
          </w:p>
        </w:tc>
        <w:tc>
          <w:tcPr>
            <w:tcW w:type="dxa" w:w="2548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3 个 Java 文件保留 MIT 头；CIDRUtils 的 MIT 全文在 LICENSE 附录</w:t>
            </w:r>
          </w:p>
        </w:tc>
        <w:tc>
          <w:tcPr>
            <w:tcW w:type="dxa" w:w="661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低</w:t>
            </w:r>
          </w:p>
        </w:tc>
      </w:tr>
      <w:tr>
        <w:trPr>
          <w:trHeight w:val="397"/>
          <w:cantSplit/>
        </w:trPr>
        <w:tc>
          <w:tcPr>
            <w:tcW w:type="dxa" w:w="1416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BSD-3-Clause</w:t>
            </w:r>
          </w:p>
        </w:tc>
        <w:tc>
          <w:tcPr>
            <w:tcW w:type="dxa" w:w="3681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保留版权、三项条件与免责声明；不得用作者/机构名义背书</w:t>
            </w:r>
          </w:p>
        </w:tc>
        <w:tc>
          <w:tcPr>
            <w:tcW w:type="dxa" w:w="2548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Utf8Utils 由 LICENSE 中 Protocol Buffers BSD 文本覆盖；ProtoTypeMap 仅有名称引用，全文缺失</w:t>
            </w:r>
          </w:p>
        </w:tc>
        <w:tc>
          <w:tcPr>
            <w:tcW w:type="dxa" w:w="661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中</w:t>
            </w:r>
          </w:p>
        </w:tc>
      </w:tr>
      <w:tr>
        <w:trPr>
          <w:trHeight w:val="397"/>
          <w:cantSplit/>
        </w:trPr>
        <w:tc>
          <w:tcPr>
            <w:tcW w:type="dxa" w:w="1416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CDDL / EPL（运行时依赖）</w:t>
            </w:r>
          </w:p>
        </w:tc>
        <w:tc>
          <w:tcPr>
            <w:tcW w:type="dxa" w:w="3681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弱 copyleft，按文件级互惠；分发需附许可证/通知，修改受控文件可能触发源码提供义务</w:t>
            </w:r>
          </w:p>
        </w:tc>
        <w:tc>
          <w:tcPr>
            <w:tcW w:type="dxa" w:w="2548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源码扫描未覆盖；.licenserc.yaml 声明 6 项 CDDL、6 项 EPL</w:t>
            </w:r>
          </w:p>
        </w:tc>
        <w:tc>
          <w:tcPr>
            <w:tcW w:type="dxa" w:w="661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中</w:t>
            </w:r>
          </w:p>
        </w:tc>
      </w:tr>
    </w:tbl>
    <w:p>
      <w:pPr>
        <w:keepNext w:val="0"/>
        <w:spacing w:before="120" w:after="0" w:line="300" w:lineRule="auto"/>
        <w:ind w:firstLine="420" w:firstLineChars="20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（1）整体结构清晰，强 copyleft 未出现。3,972 个 Java 文件为 Apache-2.0 单许可，3 个 MIT、1 个 BSD-3-Clause，未发现 GPL/AGPL/SSPL 等强 copyleft 许可证。Apache-2.0 与 MIT、BSD-3-Clause 均为宽松许可，彼此兼容；只要保留相应声明，Dubbo 作为 Apache-2.0 项目分发不存在许可证兼容性障碍。</w:t>
      </w:r>
    </w:p>
    <w:p>
      <w:pPr>
        <w:keepNext w:val="0"/>
        <w:spacing w:before="0" w:after="0" w:line="300" w:lineRule="auto"/>
        <w:ind w:firstLine="420" w:firstLineChars="20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（2）真正的风险点是 ProtoTypeMap.java 的 BSD-3-Clause 通知不完整。该文件头部写明 “Licensed under the BSD 3-Clause license”，并要求查看仓库根目录的 LICENSE.txt；但源码包中只有 LICENSE（无 LICENSE.txt），且 LICENSE 附录没有 Salesforce/grpc-java-contrib 的 BSD-3-Clause 全文。NOTICE 只写了版权与“licensed under the BSD 3-Clause License”，没有三项条件和免责声明。BSD-3-Clause 要求源码再分发时保留版权声明、条件列表和免责声明，因此仅靠 NOTICE 的名称引用并不充分。</w:t>
      </w:r>
    </w:p>
    <w:p>
      <w:pPr>
        <w:keepNext w:val="0"/>
        <w:spacing w:before="0" w:after="0" w:line="300" w:lineRule="auto"/>
        <w:ind w:firstLine="420" w:firstLineChars="20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（3）工具漏检恰好暴露了“名称引用”与“全文文本”的差异。Trivy 对 3,976 个 Java 文件给出结果，唯独漏掉 ProtoTypeMap.java；原因是该文件只有许可证名称和链接，没有可匹配的全文。若只依赖工具汇总，会得出“Java 覆盖率 100%、无 BSD 风险”的错误结论。这也说明许可证合规不能只看工具通过率，必须对“工具未识别”的文件做人工抽样复核。</w:t>
      </w:r>
    </w:p>
    <w:p>
      <w:pPr>
        <w:keepNext w:val="0"/>
        <w:spacing w:before="0" w:after="0" w:line="300" w:lineRule="auto"/>
        <w:ind w:firstLine="420" w:firstLineChars="20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（4）运行时依赖需要单独治理。.licenserc.yaml 声明了 67 项依赖：Apache-2.0 46 项、BSD-3-Clause 6 项、MIT 3 项、CDDL（1.0/1.1）6 项、EPL（1.0/2.0）6 项。CDDL/EPL 属于弱 copyleft，通常不要求整个项目开源，但若修改了受控文件，可能触发按文件提供源码的义务；分发二进制时还需附上相应许可证与通知。源码扫描因跳过 POM 而未覆盖这些依赖，这是本报告最重要的范围限制。</w:t>
      </w:r>
    </w:p>
    <w:p>
      <w:pPr>
        <w:keepNext/>
        <w:spacing w:before="120" w:after="60" w:line="24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 8  合规风险矩阵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198"/>
        <w:gridCol w:w="635"/>
        <w:gridCol w:w="3029"/>
        <w:gridCol w:w="2443"/>
      </w:tblGrid>
      <w:tr>
        <w:trPr>
          <w:trHeight w:val="369"/>
          <w:tblHeader w:val="true"/>
          <w:cantSplit/>
        </w:trPr>
        <w:tc>
          <w:tcPr>
            <w:tcW w:type="dxa" w:w="2198"/>
            <w:shd w:val="clear" w:color="auto" w:fill="F2F2F2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8"/>
                <w:szCs w:val="18"/>
              </w:rPr>
              <w:t>风险项</w:t>
            </w:r>
          </w:p>
        </w:tc>
        <w:tc>
          <w:tcPr>
            <w:tcW w:type="dxa" w:w="635"/>
            <w:shd w:val="clear" w:color="auto" w:fill="F2F2F2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8"/>
                <w:szCs w:val="18"/>
              </w:rPr>
              <w:t>等级</w:t>
            </w:r>
          </w:p>
        </w:tc>
        <w:tc>
          <w:tcPr>
            <w:tcW w:type="dxa" w:w="3029"/>
            <w:shd w:val="clear" w:color="auto" w:fill="F2F2F2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8"/>
                <w:szCs w:val="18"/>
              </w:rPr>
              <w:t>依据</w:t>
            </w:r>
          </w:p>
        </w:tc>
        <w:tc>
          <w:tcPr>
            <w:tcW w:type="dxa" w:w="2443"/>
            <w:shd w:val="clear" w:color="auto" w:fill="F2F2F2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18"/>
                <w:szCs w:val="18"/>
              </w:rPr>
              <w:t>建议</w:t>
            </w:r>
          </w:p>
        </w:tc>
      </w:tr>
      <w:tr>
        <w:trPr>
          <w:trHeight w:val="340"/>
          <w:cantSplit/>
        </w:trPr>
        <w:tc>
          <w:tcPr>
            <w:tcW w:type="dxa" w:w="2198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Salesforce BSD 通知不完整</w:t>
            </w:r>
          </w:p>
        </w:tc>
        <w:tc>
          <w:tcPr>
            <w:tcW w:type="dxa" w:w="635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中</w:t>
            </w:r>
          </w:p>
        </w:tc>
        <w:tc>
          <w:tcPr>
            <w:tcW w:type="dxa" w:w="3029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ProtoTypeMap.java 仅名称引用；LICENSE 无对应全文；工具漏检</w:t>
            </w:r>
          </w:p>
        </w:tc>
        <w:tc>
          <w:tcPr>
            <w:tcW w:type="dxa" w:w="2443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补全 BSD-3-Clause 全文，修正 LICENSE.txt 引用</w:t>
            </w:r>
          </w:p>
        </w:tc>
      </w:tr>
      <w:tr>
        <w:trPr>
          <w:trHeight w:val="340"/>
          <w:cantSplit/>
        </w:trPr>
        <w:tc>
          <w:tcPr>
            <w:tcW w:type="dxa" w:w="2198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CDDL/EPL 运行时依赖</w:t>
            </w:r>
          </w:p>
        </w:tc>
        <w:tc>
          <w:tcPr>
            <w:tcW w:type="dxa" w:w="635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中</w:t>
            </w:r>
          </w:p>
        </w:tc>
        <w:tc>
          <w:tcPr>
            <w:tcW w:type="dxa" w:w="3029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.licenserc.yaml 声明 6 项 CDDL、6 项 EPL</w:t>
            </w:r>
          </w:p>
        </w:tc>
        <w:tc>
          <w:tcPr>
            <w:tcW w:type="dxa" w:w="2443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生成并随包分发 THIRD-PARTY.txt；法务复核</w:t>
            </w:r>
          </w:p>
        </w:tc>
      </w:tr>
      <w:tr>
        <w:trPr>
          <w:trHeight w:val="340"/>
          <w:cantSplit/>
        </w:trPr>
        <w:tc>
          <w:tcPr>
            <w:tcW w:type="dxa" w:w="2198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传递依赖未扫描</w:t>
            </w:r>
          </w:p>
        </w:tc>
        <w:tc>
          <w:tcPr>
            <w:tcW w:type="dxa" w:w="635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中</w:t>
            </w:r>
          </w:p>
        </w:tc>
        <w:tc>
          <w:tcPr>
            <w:tcW w:type="dxa" w:w="3029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跳过 pom.xml，未解析 Maven 依赖</w:t>
            </w:r>
          </w:p>
        </w:tc>
        <w:tc>
          <w:tcPr>
            <w:tcW w:type="dxa" w:w="2443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发布前用 SBOM/SCA 扫描二进制分发包</w:t>
            </w:r>
          </w:p>
        </w:tc>
      </w:tr>
      <w:tr>
        <w:trPr>
          <w:trHeight w:val="340"/>
          <w:cantSplit/>
        </w:trPr>
        <w:tc>
          <w:tcPr>
            <w:tcW w:type="dxa" w:w="2198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Apache NOTICE / 商标</w:t>
            </w:r>
          </w:p>
        </w:tc>
        <w:tc>
          <w:tcPr>
            <w:tcW w:type="dxa" w:w="635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低</w:t>
            </w:r>
          </w:p>
        </w:tc>
        <w:tc>
          <w:tcPr>
            <w:tcW w:type="dxa" w:w="3029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LICENSE、NOTICE 齐全；Apache 商标政策明确</w:t>
            </w:r>
          </w:p>
        </w:tc>
        <w:tc>
          <w:tcPr>
            <w:tcW w:type="dxa" w:w="2443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保留 NOTICE；不暗示 ASF 背书</w:t>
            </w:r>
          </w:p>
        </w:tc>
      </w:tr>
      <w:tr>
        <w:trPr>
          <w:trHeight w:val="340"/>
          <w:cantSplit/>
        </w:trPr>
        <w:tc>
          <w:tcPr>
            <w:tcW w:type="dxa" w:w="2198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GPL/AGPL 等强 copyleft</w:t>
            </w:r>
          </w:p>
        </w:tc>
        <w:tc>
          <w:tcPr>
            <w:tcW w:type="dxa" w:w="635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低</w:t>
            </w:r>
          </w:p>
        </w:tc>
        <w:tc>
          <w:tcPr>
            <w:tcW w:type="dxa" w:w="3029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源码树未发现</w:t>
            </w:r>
          </w:p>
        </w:tc>
        <w:tc>
          <w:tcPr>
            <w:tcW w:type="dxa" w:w="2443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>CI 设置禁止性许可证门禁</w:t>
            </w:r>
          </w:p>
        </w:tc>
      </w:tr>
    </w:tbl>
    <w:p>
      <w:pPr>
        <w:pStyle w:val="Heading2"/>
        <w:keepNext/>
        <w:spacing w:before="120" w:after="60" w:line="300" w:lineRule="auto"/>
        <w:ind w:firstLine="0"/>
        <w:jc w:val="left"/>
      </w:pPr>
      <w:r>
        <w:t>4.1 合规建议</w:t>
      </w:r>
    </w:p>
    <w:p>
      <w:pPr>
        <w:keepNext w:val="0"/>
        <w:spacing w:before="0" w:after="0" w:line="300" w:lineRule="auto"/>
        <w:ind w:left="510" w:hanging="255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1. 补齐 BSD-3-Clause 全文：在根目录增加 LICENSE-BSD-3-Clause.txt（或并入 LICENSE），包含 Salesforce 版权、三项条件与免责声明；同时把 ProtoTypeMap.java 的 LICENSE.txt 引用改为实际文件路径。</w:t>
      </w:r>
    </w:p>
    <w:p>
      <w:pPr>
        <w:keepNext w:val="0"/>
        <w:spacing w:before="0" w:after="0" w:line="300" w:lineRule="auto"/>
        <w:ind w:left="510" w:hanging="255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2. 随分发物提供完整通知：保留 LICENSE、NOTICE，并生成 THIRD-PARTY.txt；项目已有 licenseCheck.sh（Maven license 插件）可生成依赖许可证清单，应在发布流程中固化。</w:t>
      </w:r>
    </w:p>
    <w:p>
      <w:pPr>
        <w:keepNext w:val="0"/>
        <w:spacing w:before="0" w:after="0" w:line="300" w:lineRule="auto"/>
        <w:ind w:left="510" w:hanging="255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3. 把许可证扫描纳入 CI：每次发布执行 trivy fs --scanners license --license-full，保存 JSON 作为审计证据；对 GPL/AGPL/SSPL 设置失败门禁，对 CDDL/EPL 设置人工复核。</w:t>
      </w:r>
    </w:p>
    <w:p>
      <w:pPr>
        <w:keepNext w:val="0"/>
        <w:spacing w:before="0" w:after="0" w:line="300" w:lineRule="auto"/>
        <w:ind w:left="510" w:hanging="255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4. 补充 SBOM/二进制扫描：源码扫描不能替代依赖审计；建议用 CycloneDX/SPDX 生成 SBOM，并对 dubbo-all 等二进制分发包再做一次许可证扫描。</w:t>
      </w:r>
    </w:p>
    <w:p>
      <w:pPr>
        <w:keepNext w:val="0"/>
        <w:spacing w:before="0" w:after="0" w:line="300" w:lineRule="auto"/>
        <w:ind w:left="510" w:hanging="255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5. 建立人工复核清单：对“工具未识别”“仅有许可证名称/链接”“NOTICE 与 LICENSE 不一致”的文件逐条复核；本次的 ProtoTypeMap.java 应作为首个案例。</w:t>
      </w:r>
    </w:p>
    <w:p>
      <w:pPr>
        <w:pStyle w:val="Heading1"/>
        <w:keepNext/>
        <w:spacing w:before="240" w:after="120" w:line="300" w:lineRule="auto"/>
        <w:ind w:firstLine="0"/>
        <w:jc w:val="left"/>
      </w:pPr>
      <w:r>
        <w:t>5、结论</w:t>
      </w:r>
    </w:p>
    <w:p>
      <w:pPr>
        <w:keepNext w:val="0"/>
        <w:spacing w:before="0" w:after="0" w:line="300" w:lineRule="auto"/>
        <w:ind w:firstLine="420" w:firstLineChars="20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Apache Dubbo 3.3.6 是一套以 Apache-2.0 为主、少量 MIT/BSD-3-Clause 第三方代码共存的微服务框架。Trivy 0.76.1 在 10.4 s 内完成 4,758 个文件的源码树扫描（跳过 116 个 pom.xml），给出 3,981 条文件级许可证记录，Java 覆盖率达 99.97%，未发现 GPL/AGPL 等强 copyleft 许可证，整体许可证结构清晰、兼容性良好。</w:t>
      </w:r>
    </w:p>
    <w:p>
      <w:pPr>
        <w:keepNext w:val="0"/>
        <w:spacing w:before="0" w:after="0" w:line="300" w:lineRule="auto"/>
        <w:ind w:firstLine="420" w:firstLineChars="20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主要合规缺口不在许可证类型，而在通知完整性：ProtoTypeMap.java 的 BSD-3-Clause 仅有名称引用，缺少全文；工具也因此漏检。补齐该全文、随包提供 LICENSE/NOTICE/THIRD-PARTY.txt，并对 CDDL/EPL 运行时依赖做二进制级复核后，Dubbo 的再分发合规风险可控制在较低水平。本报告也说明：许可证工具擅长“发现线索”，但“是否满足义务”仍需要人工判断。</w:t>
      </w:r>
    </w:p>
    <w:p>
      <w:pPr>
        <w:pStyle w:val="Heading1"/>
        <w:keepNext/>
        <w:spacing w:before="240" w:after="120" w:line="300" w:lineRule="auto"/>
        <w:ind w:firstLine="0"/>
        <w:jc w:val="left"/>
      </w:pPr>
      <w:r>
        <w:t>附：主要检测产物</w:t>
      </w:r>
    </w:p>
    <w:p>
      <w:pPr>
        <w:keepNext w:val="0"/>
        <w:spacing w:before="0" w:after="0" w:line="300" w:lineRule="auto"/>
        <w:ind w:firstLine="420" w:firstLineChars="20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· output/trivy_dubbo.json：Trivy 原始 JSON（约 1.57 MB，3,981 条记录，可用于复核与二次统计）。</w:t>
      </w:r>
    </w:p>
    <w:p>
      <w:pPr>
        <w:keepNext w:val="0"/>
        <w:spacing w:before="0" w:after="0" w:line="300" w:lineRule="auto"/>
        <w:ind w:firstLine="420" w:firstLineChars="20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· output/trivy_report.html：UTF-8 可读整理稿（摘要、许可证分布与 3,981 条明细，支持关键字过滤）。</w:t>
      </w:r>
    </w:p>
    <w:p>
      <w:pPr>
        <w:keepNext w:val="0"/>
        <w:spacing w:before="0" w:after="0" w:line="300" w:lineRule="auto"/>
        <w:ind w:firstLine="420" w:firstLineChars="20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· data/apache-dubbo-3.3.6-src.zip：被扫描源码包，SHA-256 2551A403…87C3，SHA-512 与 ASF 官方校验一致。</w:t>
      </w:r>
    </w:p>
    <w:p>
      <w:pPr>
        <w:pStyle w:val="Heading1"/>
        <w:keepNext/>
        <w:spacing w:before="240" w:after="120" w:line="300" w:lineRule="auto"/>
        <w:ind w:firstLine="0"/>
        <w:jc w:val="left"/>
      </w:pPr>
      <w:r>
        <w:t>参考资料</w:t>
      </w:r>
    </w:p>
    <w:p>
      <w:pPr>
        <w:keepNext w:val="0"/>
        <w:spacing w:before="0" w:after="0" w:line="300" w:lineRule="auto"/>
        <w:ind w:left="420" w:hanging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[1] Apache Software Foundation. Apache Dubbo. https://dubbo.apache.org/</w:t>
      </w:r>
    </w:p>
    <w:p>
      <w:pPr>
        <w:keepNext w:val="0"/>
        <w:spacing w:before="0" w:after="0" w:line="300" w:lineRule="auto"/>
        <w:ind w:left="420" w:hanging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[2] Apache Software Foundation. Apache License, Version 2.0. https://www.apache.org/licenses/LICENSE-2.0</w:t>
      </w:r>
    </w:p>
    <w:p>
      <w:pPr>
        <w:keepNext w:val="0"/>
        <w:spacing w:before="0" w:after="0" w:line="300" w:lineRule="auto"/>
        <w:ind w:left="420" w:hanging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[3] Trivy Documentation. License Scanning. https://trivy.dev/latest/docs/scanner/license/</w:t>
      </w:r>
    </w:p>
    <w:p>
      <w:pPr>
        <w:keepNext w:val="0"/>
        <w:spacing w:before="0" w:after="0" w:line="300" w:lineRule="auto"/>
        <w:ind w:left="420" w:hanging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[4] Apache Dubbo 3.3.6 Source Release. https://archive.apache.org/dist/dubbo/3.3.6/apache-dubbo-3.3.6-src.zip</w:t>
      </w:r>
    </w:p>
    <w:p>
      <w:pPr>
        <w:keepNext w:val="0"/>
        <w:spacing w:before="0" w:after="0" w:line="300" w:lineRule="auto"/>
        <w:ind w:left="420" w:hanging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[5] SPDX License List. https://spdx.org/licenses/</w:t>
      </w:r>
    </w:p>
    <w:p>
      <w:pPr>
        <w:keepNext w:val="0"/>
        <w:spacing w:before="0" w:after="0" w:line="300" w:lineRule="auto"/>
        <w:ind w:left="420" w:hanging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[6] Open Source Initiative. The 3-Clause BSD License. https://opensource.org/license/bsd-3-clause</w:t>
      </w:r>
    </w:p>
    <w:p>
      <w:pPr>
        <w:keepNext w:val="0"/>
        <w:spacing w:before="360" w:after="0" w:line="30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声明：本报告仅用于课程作业的许可证合规分析，不构成法律意见。</w:t>
      </w:r>
    </w:p>
    <w:p>
      <w:pPr>
        <w:pageBreakBefore/>
        <w:spacing w:before="0" w:after="120"/>
      </w:pPr>
      <w:r>
        <w:rPr>
          <w:rFonts w:ascii="Times New Roman" w:hAnsi="Times New Roman" w:eastAsia="仿宋" w:cs="Times New Roman"/>
          <w:b w:val="0"/>
          <w:i w:val="0"/>
          <w:color w:val="000000"/>
          <w:sz w:val="21"/>
        </w:rPr>
        <w:t>评价表格：</w:t>
      </w:r>
    </w:p>
    <w:tbl>
      <w:tblPr>
        <w:tblW w:w="83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89"/>
        <w:gridCol w:w="1017"/>
      </w:tblGrid>
      <w:tr w14:paraId="67206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89" w:type="dxa"/>
          </w:tcPr>
          <w:p w14:paraId="306EF4F9">
            <w:pPr>
              <w:spacing w:line="300" w:lineRule="auto"/>
              <w:jc w:val="center"/>
              <w:rPr>
                <w:rFonts w:ascii="仿宋" w:hAnsi="仿宋" w:eastAsia="仿宋"/>
                <w:b/>
                <w:bCs/>
                <w:kern w:val="0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</w:rPr>
              <w:t>考核标准</w:t>
            </w:r>
          </w:p>
        </w:tc>
        <w:tc>
          <w:tcPr>
            <w:tcW w:w="1017" w:type="dxa"/>
          </w:tcPr>
          <w:p w14:paraId="2BB8AF0D">
            <w:pPr>
              <w:widowControl/>
              <w:jc w:val="center"/>
              <w:rPr>
                <w:rFonts w:ascii="仿宋" w:hAnsi="仿宋" w:eastAsia="仿宋"/>
                <w:b/>
                <w:bCs/>
                <w:kern w:val="0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</w:rPr>
              <w:t>得分</w:t>
            </w:r>
          </w:p>
        </w:tc>
      </w:tr>
      <w:tr w14:paraId="70B67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89" w:type="dxa"/>
          </w:tcPr>
          <w:p w14:paraId="603E2623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1</w:t>
            </w:r>
            <w:r>
              <w:rPr>
                <w:rFonts w:hint="eastAsia" w:ascii="仿宋" w:hAnsi="仿宋" w:eastAsia="仿宋" w:cs="仿宋"/>
                <w:kern w:val="0"/>
              </w:rPr>
              <w:t>）报告格式规范、语言通顺（</w:t>
            </w:r>
            <w:r>
              <w:rPr>
                <w:rFonts w:ascii="仿宋" w:hAnsi="仿宋" w:eastAsia="仿宋" w:cs="仿宋"/>
                <w:kern w:val="0"/>
              </w:rPr>
              <w:t>10%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17" w:type="dxa"/>
          </w:tcPr>
          <w:p w14:paraId="4B49FE88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053CC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89" w:type="dxa"/>
          </w:tcPr>
          <w:p w14:paraId="2407C561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2</w:t>
            </w:r>
            <w:r>
              <w:rPr>
                <w:rFonts w:hint="eastAsia" w:ascii="仿宋" w:hAnsi="仿宋" w:eastAsia="仿宋" w:cs="仿宋"/>
                <w:kern w:val="0"/>
              </w:rPr>
              <w:t>）质量标准分析合理（1</w:t>
            </w:r>
            <w:r>
              <w:rPr>
                <w:rFonts w:ascii="仿宋" w:hAnsi="仿宋" w:eastAsia="仿宋" w:cs="仿宋"/>
                <w:kern w:val="0"/>
              </w:rPr>
              <w:t>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17" w:type="dxa"/>
          </w:tcPr>
          <w:p w14:paraId="592BED55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345EE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89" w:type="dxa"/>
          </w:tcPr>
          <w:p w14:paraId="06B4BA6C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3</w:t>
            </w:r>
            <w:r>
              <w:rPr>
                <w:rFonts w:hint="eastAsia" w:ascii="仿宋" w:hAnsi="仿宋" w:eastAsia="仿宋" w:cs="仿宋"/>
                <w:kern w:val="0"/>
              </w:rPr>
              <w:t>）测试方法分析全面、合理（</w:t>
            </w:r>
            <w:r>
              <w:rPr>
                <w:rFonts w:ascii="仿宋" w:hAnsi="仿宋" w:eastAsia="仿宋" w:cs="仿宋"/>
                <w:kern w:val="0"/>
              </w:rPr>
              <w:t>20%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17" w:type="dxa"/>
          </w:tcPr>
          <w:p w14:paraId="5E606DBE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155A9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89" w:type="dxa"/>
          </w:tcPr>
          <w:p w14:paraId="37F015F1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4</w:t>
            </w:r>
            <w:r>
              <w:rPr>
                <w:rFonts w:hint="eastAsia" w:ascii="仿宋" w:hAnsi="仿宋" w:eastAsia="仿宋" w:cs="仿宋"/>
                <w:kern w:val="0"/>
              </w:rPr>
              <w:t>）测试风险分析全面、合理（</w:t>
            </w:r>
            <w:r>
              <w:rPr>
                <w:rFonts w:ascii="仿宋" w:hAnsi="仿宋" w:eastAsia="仿宋" w:cs="仿宋"/>
                <w:kern w:val="0"/>
              </w:rPr>
              <w:t>20%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17" w:type="dxa"/>
          </w:tcPr>
          <w:p w14:paraId="1086904D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182C1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89" w:type="dxa"/>
          </w:tcPr>
          <w:p w14:paraId="4EEB5B32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5</w:t>
            </w:r>
            <w:r>
              <w:rPr>
                <w:rFonts w:hint="eastAsia" w:ascii="仿宋" w:hAnsi="仿宋" w:eastAsia="仿宋" w:cs="仿宋"/>
                <w:kern w:val="0"/>
              </w:rPr>
              <w:t>）测试总体测试策略全面、合理（3</w:t>
            </w:r>
            <w:r>
              <w:rPr>
                <w:rFonts w:ascii="仿宋" w:hAnsi="仿宋" w:eastAsia="仿宋" w:cs="仿宋"/>
                <w:kern w:val="0"/>
              </w:rPr>
              <w:t>0%</w:t>
            </w:r>
            <w:r>
              <w:rPr>
                <w:rFonts w:hint="eastAsia" w:ascii="仿宋" w:hAnsi="仿宋" w:eastAsia="仿宋" w:cs="仿宋"/>
                <w:kern w:val="0"/>
              </w:rPr>
              <w:t>）</w:t>
            </w:r>
          </w:p>
        </w:tc>
        <w:tc>
          <w:tcPr>
            <w:tcW w:w="1017" w:type="dxa"/>
          </w:tcPr>
          <w:p w14:paraId="36167FA8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49649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89" w:type="dxa"/>
          </w:tcPr>
          <w:p w14:paraId="6EB43FAF">
            <w:pPr>
              <w:spacing w:line="300" w:lineRule="auto"/>
              <w:rPr>
                <w:rFonts w:ascii="仿宋" w:hAnsi="仿宋" w:eastAsia="仿宋" w:cs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（6）测试充分性判断标准合理（10%）</w:t>
            </w:r>
          </w:p>
        </w:tc>
        <w:tc>
          <w:tcPr>
            <w:tcW w:w="1017" w:type="dxa"/>
          </w:tcPr>
          <w:p w14:paraId="13FC1955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</w:tbl>
    <w:sectPr w:rsidR="00FC693F" w:rsidRPr="0006063C" w:rsidSect="00034616">
      <w:footerReference w:type="default" r:id="rId9"/>
      <w:footerReference w:type="first" r:id="rId10"/>
      <w:pgSz w:w="11906" w:h="16838"/>
      <w:pgMar w:top="1440" w:right="1800" w:bottom="1440" w:left="1800" w:header="851" w:footer="99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tabs>
        <w:tab w:pos="4706" w:val="center"/>
        <w:tab w:pos="9411" w:val="right"/>
      </w:tabs>
      <w:spacing w:before="0" w:after="0" w:line="240" w:lineRule="auto"/>
      <w:jc w:val="left"/>
    </w:pPr>
    <w:r>
      <w:rPr>
        <w:rFonts w:ascii="Times New Roman" w:hAnsi="Times New Roman" w:eastAsia="宋体" w:cs="Times New Roman"/>
        <w:b w:val="0"/>
        <w:i w:val="0"/>
        <w:color w:val="7F7F7F"/>
        <w:sz w:val="16"/>
      </w:rPr>
      <w:t>Apache Dubbo 软件许可测试报告</w:t>
      <w:tab/>
    </w:r>
    <w:r>
      <w:rPr>
        <w:rFonts w:ascii="Times New Roman" w:hAnsi="Times New Roman" w:eastAsia="宋体" w:cs="Times New Roman"/>
        <w:b w:val="0"/>
        <w:i w:val="0"/>
        <w:color w:val="595959"/>
        <w:sz w:val="16"/>
      </w:rPr>
      <w:t xml:space="preserve">第 </w:t>
    </w:r>
    <w:r>
      <w:rPr>
        <w:rFonts w:ascii="Times New Roman" w:hAnsi="Times New Roman" w:eastAsia="宋体" w:cs="Times New Roman"/>
        <w:b w:val="0"/>
        <w:i w:val="0"/>
        <w:color w:val="595959"/>
        <w:sz w:val="16"/>
      </w:rPr>
      <w:fldChar w:fldCharType="begin"/>
      <w:instrText xml:space="preserve"> PAGE </w:instrText>
      <w:fldChar w:fldCharType="end"/>
    </w:r>
    <w:r>
      <w:rPr>
        <w:rFonts w:ascii="Times New Roman" w:hAnsi="Times New Roman" w:eastAsia="宋体" w:cs="Times New Roman"/>
        <w:b w:val="0"/>
        <w:i w:val="0"/>
        <w:color w:val="595959"/>
        <w:sz w:val="16"/>
      </w:rPr>
      <w:t xml:space="preserve"> 页</w:t>
    </w:r>
    <w:r>
      <w:rPr>
        <w:rFonts w:ascii="Times New Roman" w:hAnsi="Times New Roman" w:eastAsia="宋体" w:cs="Times New Roman"/>
        <w:b w:val="0"/>
        <w:i w:val="0"/>
        <w:color w:val="7F7F7F"/>
        <w:sz w:val="16"/>
      </w:rPr>
      <w:tab/>
      <w:t>Apache Dubbo 3.3.6 软件许可测试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/>
        <w:sz w:val="21"/>
        <w:szCs w:val="21"/>
        <w:lang w:val="en-US" w:eastAsia="en-US" w:bidi="ar-SA"/>
      </w:rPr>
    </w:rPrDefault>
    <w:pPrDefault>
      <w:pPr>
        <w:spacing w:after="0" w:line="240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 w:cs="Times New Roma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00" w:lineRule="auto"/>
      <w:ind w:firstLine="0"/>
      <w:outlineLvl w:val="0"/>
    </w:pPr>
    <w:rPr>
      <w:rFonts w:ascii="Times New Roman" w:hAnsi="Times New Roman" w:cs="Times New Roman" w:eastAsia="仿宋_GB2312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 w:line="300" w:lineRule="auto"/>
      <w:ind w:firstLine="0"/>
      <w:outlineLvl w:val="1"/>
    </w:pPr>
    <w:rPr>
      <w:rFonts w:ascii="Times New Roman" w:hAnsi="Times New Roman" w:cs="Times New Roman" w:eastAsia="仿宋_GB2312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Apache Dubbo 软件许可测试报告</dc:title>
  <dc:subject>《开源创新思维》第七周作业</dc:subject>
  <dc:creator>陆文雨（f25011308）</dc:creator>
  <cp:keywords>开源许可证合规; Apache Dubbo; Trivy</cp:keywords>
  <dc:description>班级 f250117；学号 f25011308；指导教师 祝欣蓉</dc:description>
  <cp:lastModifiedBy>陆文雨</cp:lastModifiedBy>
  <cp:revision>1</cp:revision>
  <dcterms:created xsi:type="dcterms:W3CDTF">2013-12-23T23:15:00Z</dcterms:created>
  <dcterms:modified xsi:type="dcterms:W3CDTF">2013-12-23T23:15:00Z</dcterms:modified>
  <cp:category/>
</cp:coreProperties>
</file>