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《开源软件许可合规》平时作业 1 · 第 2 章</w:t>
      </w:r>
    </w:p>
    <w:p>
      <w:pPr>
        <w:keepNext w:val="0"/>
        <w:spacing w:before="40" w:after="40" w:line="252" w:lineRule="auto"/>
        <w:jc w:val="center"/>
      </w:pPr>
      <w:r>
        <w:rPr>
          <w:rFonts w:ascii="Arial" w:hAnsi="Arial" w:eastAsia="黑体" w:cs="Arial"/>
          <w:b/>
          <w:i w:val="0"/>
          <w:color w:val="1F3864"/>
          <w:sz w:val="38"/>
        </w:rPr>
        <w:t>Apache Dubbo 开源许可证合规检测报告</w:t>
      </w:r>
    </w:p>
    <w:p>
      <w:pPr>
        <w:keepNext w:val="0"/>
        <w:spacing w:before="0" w:after="10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2E5C8A"/>
          <w:sz w:val="21"/>
        </w:rPr>
        <w:t>——基于 Trivy 0.76.1 的 Apache Dubbo 3.3.6 源码树扫描</w:t>
      </w:r>
    </w:p>
    <w:p>
      <w:pPr>
        <w:keepNext w:val="0"/>
        <w:spacing w:before="20" w:after="2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222222"/>
          <w:sz w:val="20"/>
        </w:rPr>
        <w:t>学号：f25011308　　姓名：陆文雨　　班级：f250117</w:t>
      </w:r>
    </w:p>
    <w:p>
      <w:pPr>
        <w:keepNext w:val="0"/>
        <w:spacing w:before="0" w:after="6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2026 年 10 月 22 日</w:t>
      </w:r>
    </w:p>
    <w:p>
      <w:pPr>
        <w:keepNext w:val="0"/>
        <w:spacing w:before="0" w:after="80" w:line="240" w:lineRule="auto"/>
        <w:pBdr>
          <w:bottom w:val="single" w:sz="12" w:space="1" w:color="1F3864"/>
        </w:pBdr>
      </w:pPr>
    </w:p>
    <w:p>
      <w:pPr>
        <w:pStyle w:val="Heading1"/>
        <w:keepNext/>
        <w:spacing w:before="40" w:after="80" w:line="264" w:lineRule="auto"/>
        <w:pBdr>
          <w:bottom w:val="single" w:sz="8" w:space="2" w:color="1F3864"/>
        </w:pBdr>
      </w:pPr>
      <w:r>
        <w:rPr>
          <w:rFonts w:ascii="Arial" w:hAnsi="Arial" w:eastAsia="黑体" w:cs="Arial"/>
          <w:b/>
          <w:i w:val="0"/>
          <w:color w:val="1F3864"/>
          <w:sz w:val="27"/>
        </w:rPr>
        <w:t>一、项目介绍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Apache Dubbo 是 Apache 软件基金会（ASF）的顶级项目，定位为云原生 Java 微服务框架，提供 RPC、服务发现、流量治理、可观测性和多语言 SDK 等能力。项目采用多模块 Maven 结构，源码规模适中、第三方代码来源清晰，且同时包含 Apache-2.0、MIT 与 BSD-3-Clause 三类许可证，适合作为开源许可证合规检测与混合许可证分析的样本。</w:t>
      </w:r>
    </w:p>
    <w:p>
      <w:pPr>
        <w:keepNext/>
        <w:spacing w:before="2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表 1  被扫描项目概况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819"/>
        <w:gridCol w:w="4819"/>
      </w:tblGrid>
      <w:tr>
        <w:trPr>
          <w:trHeight w:val="369"/>
          <w:tblHeader w:val="true"/>
          <w:cantSplit/>
        </w:trPr>
        <w:tc>
          <w:tcPr>
            <w:tcW w:type="dxa" w:w="1701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937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trHeight w:val="351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项目 / 版本</w:t>
            </w:r>
          </w:p>
        </w:tc>
        <w:tc>
          <w:tcPr>
            <w:tcW w:type="dxa" w:w="79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Apache Dubbo 3.3.6（2025-10-17 发布，3.3.x 最新特性版本）</w:t>
            </w:r>
          </w:p>
        </w:tc>
      </w:tr>
      <w:tr>
        <w:trPr>
          <w:trHeight w:val="351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社区地位</w:t>
            </w:r>
          </w:p>
        </w:tc>
        <w:tc>
          <w:tcPr>
            <w:tcW w:type="dxa" w:w="79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ASF 顶级项目（2019 年毕业），项目许可证 Apache-2.0</w:t>
            </w:r>
          </w:p>
        </w:tc>
      </w:tr>
      <w:tr>
        <w:trPr>
          <w:trHeight w:val="351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项目定位</w:t>
            </w:r>
          </w:p>
        </w:tc>
        <w:tc>
          <w:tcPr>
            <w:tcW w:type="dxa" w:w="79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Java RPC / 微服务框架；服务发现、流量治理、可观测性、多语言 SDK</w:t>
            </w:r>
          </w:p>
        </w:tc>
      </w:tr>
      <w:tr>
        <w:trPr>
          <w:trHeight w:val="351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代码规模</w:t>
            </w:r>
          </w:p>
        </w:tc>
        <w:tc>
          <w:tcPr>
            <w:tcW w:type="dxa" w:w="79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18 个 dubbo-* 模块、116 个 pom.xml、4,758 个文件、约 19.06 MB、405,811 行 Java</w:t>
            </w:r>
          </w:p>
        </w:tc>
      </w:tr>
      <w:tr>
        <w:trPr>
          <w:trHeight w:val="351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扫描对象</w:t>
            </w:r>
          </w:p>
        </w:tc>
        <w:tc>
          <w:tcPr>
            <w:tcW w:type="dxa" w:w="79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apache-dubbo-3.3.6-src.zip（7.55 MiB），SHA-512 与 ASF 官方校验文件一致</w:t>
            </w:r>
          </w:p>
        </w:tc>
      </w:tr>
      <w:tr>
        <w:trPr>
          <w:trHeight w:val="351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选择理由</w:t>
            </w:r>
          </w:p>
        </w:tc>
        <w:tc>
          <w:tcPr>
            <w:tcW w:type="dxa" w:w="79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7"/>
              </w:rPr>
              <w:t>社区活跃、模块划分清晰；NOTICE 明确列出 Netty、t-digest、Maven Protobuf Plugin、grpc-java-contrib 等第三方代码，便于验证工具识别与人工复核</w:t>
            </w:r>
          </w:p>
        </w:tc>
      </w:tr>
    </w:tbl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本次扫描对象为 ASF 官方发布的源码发行包，而非编译后的二进制分发包；解压后扫描其源码树。选择源码包的原因是：许可证文本、版权头、NOTICE 与构建清单都在包内，能够直接检验项目的许可证声明质量；同时，源码包不包含 Maven 解析后的第三方 JAR，因此本报告的扫描结论主要覆盖“源码树中可见的许可证”，运行时依赖风险将结合项目自带的 .licenserc.yaml 单独讨论。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项目根目录的 LICENSE 以 Apache-2.0 为主，并在文末附有 Netty、CIDRUtils（MIT）、Protocol Buffers（BSD-3-Clause）、Istio、Swagger UI、Redoc 等第三方许可证文本；NOTICE 进一步列出了 Netty、t-digest、Maven Protobuf Plugin 与 grpc-java-contrib 等来源。该结构说明 Dubbo 并非“单一 Apache-2.0”项目，而是以 Apache-2.0 为主、少量 MIT/BSD 第三方代码共存的混合许可证项目，这正是本报告分析的重点。</w:t>
      </w:r>
    </w:p>
    <w:p>
      <w:pPr>
        <w:pStyle w:val="Heading1"/>
        <w:keepNext/>
        <w:spacing w:before="100" w:after="80" w:line="264" w:lineRule="auto"/>
        <w:pBdr>
          <w:bottom w:val="single" w:sz="8" w:space="2" w:color="1F3864"/>
        </w:pBdr>
      </w:pPr>
      <w:r>
        <w:rPr>
          <w:rFonts w:ascii="Arial" w:hAnsi="Arial" w:eastAsia="黑体" w:cs="Arial"/>
          <w:b/>
          <w:i w:val="0"/>
          <w:color w:val="1F3864"/>
          <w:sz w:val="27"/>
        </w:rPr>
        <w:t>二、工具选型与安装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许可证合规工具可分为“源码深度扫描”“依赖/SBOM 解析”“SaaS 合规平台”三类。结合本任务对离线运行、文件级许可证证据、可复现报告和 Windows 本机执行的要求，对四款工具进行了比较，最终选择 Trivy 0.76.1。</w:t>
      </w:r>
    </w:p>
    <w:p>
      <w:pPr>
        <w:keepNext/>
        <w:spacing w:before="2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表 2  许可证合规工具选型比较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369"/>
          <w:tblHeader w:val="true"/>
          <w:cantSplit/>
        </w:trPr>
        <w:tc>
          <w:tcPr>
            <w:tcW w:type="dxa" w:w="1587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工具</w:t>
            </w:r>
          </w:p>
        </w:tc>
        <w:tc>
          <w:tcPr>
            <w:tcW w:type="dxa" w:w="2608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类型 / 能力</w:t>
            </w:r>
          </w:p>
        </w:tc>
        <w:tc>
          <w:tcPr>
            <w:tcW w:type="dxa" w:w="2494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优点</w:t>
            </w:r>
          </w:p>
        </w:tc>
        <w:tc>
          <w:tcPr>
            <w:tcW w:type="dxa" w:w="2948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不足与结论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ScanCode 32.5.0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本地 CLI / 库；文件级许可证、版权、包扫描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检测深度高，支持 JSON/HTML/SPDX/CycloneDX</w:t>
            </w:r>
          </w:p>
        </w:tc>
        <w:tc>
          <w:tcPr>
            <w:tcW w:type="dxa" w:w="29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本机 413 MB 许可索引加载过慢，全量扫描启动超过 10 分钟，未作为最终工具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FOSSology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Web + 数据库的团队级平台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适合组织级审计与人工复核</w:t>
            </w:r>
          </w:p>
        </w:tc>
        <w:tc>
          <w:tcPr>
            <w:tcW w:type="dxa" w:w="29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Windows 本地部署重，需数据库与服务器环境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ORT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流水线式依赖解析与合规策略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与构建系统结合紧密</w:t>
            </w:r>
          </w:p>
        </w:tc>
        <w:tc>
          <w:tcPr>
            <w:tcW w:type="dxa" w:w="29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配置复杂，依赖解析需完整构建环境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FOSSA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SaaS 合规平台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开箱即用、报告友好</w:t>
            </w:r>
          </w:p>
        </w:tc>
        <w:tc>
          <w:tcPr>
            <w:tcW w:type="dxa" w:w="29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需要账号/Token 与代码上传，离线不可用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Trivy 0.76.1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单文件 CLI；--license-full 扫描源码头与许可证文件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10.4 s 完成 4,758 个文件；JSON 结果含文件路径、置信度、类别</w:t>
            </w:r>
          </w:p>
        </w:tc>
        <w:tc>
          <w:tcPr>
            <w:tcW w:type="dxa" w:w="29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依赖解析能力弱；默认 severity 仅为策略映射，需人工解释</w:t>
            </w:r>
          </w:p>
        </w:tc>
      </w:tr>
    </w:tbl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选择 Trivy 的关键原因是其 --license-full 模式能够直接读取源码文件头与 LICENSE/NOTICE 文本，输出“许可证名称 + 文件路径 + 置信度”的文件级证据，而不是只给出包级汇总；JSON 结果便于二次统计与复核。其不足也很明确：不解析 Maven 传递依赖，许可证 severity 默认全部映射为 LOW，不能直接等同于法律风险等级。因此本报告把工具结果与人工复核结合使用。</w:t>
      </w:r>
    </w:p>
    <w:p>
      <w:pPr>
        <w:pStyle w:val="Heading2"/>
        <w:keepNext/>
        <w:spacing w:before="80" w:after="40" w:line="264" w:lineRule="auto"/>
      </w:pPr>
      <w:r>
        <w:rPr>
          <w:rFonts w:ascii="Arial" w:hAnsi="Arial" w:eastAsia="黑体" w:cs="Arial"/>
          <w:b/>
          <w:i w:val="0"/>
          <w:color w:val="2E5C8A"/>
          <w:sz w:val="22"/>
        </w:rPr>
        <w:t>2.1 安装与环境</w:t>
      </w:r>
    </w:p>
    <w:p>
      <w:pPr>
        <w:keepNext w:val="0"/>
        <w:spacing w:before="0" w:after="2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环境：Windows x64、Trivy 0.76.1（单文件可执行程序），扫描日期 2026-10-22 10:11:40—10:11:50（UTC+8）。安装过程如下：</w:t>
      </w:r>
    </w:p>
    <w:p>
      <w:pPr>
        <w:pStyle w:val="ListNumber"/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从 GitHub Releases 下载 trivy_0.76.1_windows-64bit.zip，解压得到 trivy.exe，无需管理员权限；</w:t>
      </w:r>
    </w:p>
    <w:p>
      <w:pPr>
        <w:pStyle w:val="ListNumber"/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执行 trivy --version，确认版本为 0.76.1；</w:t>
      </w:r>
    </w:p>
    <w:p>
      <w:pPr>
        <w:pStyle w:val="ListNumber"/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将 TRIVY_CACHE_DIR 指向工作区目录，避免受控账户对用户 AppData 缓存目录的写入限制；</w:t>
      </w:r>
    </w:p>
    <w:p>
      <w:pPr>
        <w:pStyle w:val="ListNumber"/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首次直接执行全量扫描时，Trivy 尝试解析 Maven POM 并访问 Maven Central，触发 HTTP 429，扫描中止；</w:t>
      </w:r>
    </w:p>
    <w:p>
      <w:pPr>
        <w:pStyle w:val="ListNumber"/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改用 --offline-scan 并跳过 **/pom.xml，只做源码级许可证扫描，扫描在 10.4 s 内完成。</w:t>
      </w:r>
    </w:p>
    <w:p>
      <w:pPr>
        <w:keepNext/>
        <w:spacing w:before="4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表 3  安装与运行中遇到的问题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369"/>
          <w:tblHeader w:val="true"/>
          <w:cantSplit/>
        </w:trPr>
        <w:tc>
          <w:tcPr>
            <w:tcW w:type="dxa" w:w="1587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问题</w:t>
            </w:r>
          </w:p>
        </w:tc>
        <w:tc>
          <w:tcPr>
            <w:tcW w:type="dxa" w:w="2891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现象</w:t>
            </w:r>
          </w:p>
        </w:tc>
        <w:tc>
          <w:tcPr>
            <w:tcW w:type="dxa" w:w="2721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原因</w:t>
            </w:r>
          </w:p>
        </w:tc>
        <w:tc>
          <w:tcPr>
            <w:tcW w:type="dxa" w:w="2438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解决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Maven Central 429</w:t>
            </w:r>
          </w:p>
        </w:tc>
        <w:tc>
          <w:tcPr>
            <w:tcW w:type="dxa" w:w="289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FATAL：remote Maven repository returned 429 Too Many Requests</w:t>
            </w:r>
          </w:p>
        </w:tc>
        <w:tc>
          <w:tcPr>
            <w:tcW w:type="dxa" w:w="272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POM 依赖解析访问远端仓库，触发限流</w:t>
            </w:r>
          </w:p>
        </w:tc>
        <w:tc>
          <w:tcPr>
            <w:tcW w:type="dxa" w:w="243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加 --offline-scan，并用 --skip-files "**/pom.xml" 跳过 POM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默认扫描不完整</w:t>
            </w:r>
          </w:p>
        </w:tc>
        <w:tc>
          <w:tcPr>
            <w:tcW w:type="dxa" w:w="289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只报告 LICENSE 与包清单，源码头未覆盖</w:t>
            </w:r>
          </w:p>
        </w:tc>
        <w:tc>
          <w:tcPr>
            <w:tcW w:type="dxa" w:w="272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未启用 --license-full</w:t>
            </w:r>
          </w:p>
        </w:tc>
        <w:tc>
          <w:tcPr>
            <w:tcW w:type="dxa" w:w="243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加 --license-full，扫描源码头与许可证文件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依赖信息缺失</w:t>
            </w:r>
          </w:p>
        </w:tc>
        <w:tc>
          <w:tcPr>
            <w:tcW w:type="dxa" w:w="289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输出 Number of language-specific files num=0</w:t>
            </w:r>
          </w:p>
        </w:tc>
        <w:tc>
          <w:tcPr>
            <w:tcW w:type="dxa" w:w="272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跳过 POM 后不做依赖解析</w:t>
            </w:r>
          </w:p>
        </w:tc>
        <w:tc>
          <w:tcPr>
            <w:tcW w:type="dxa" w:w="243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用 .licenserc.yaml 的 67 项声明补足运行时视角</w:t>
            </w:r>
          </w:p>
        </w:tc>
      </w:tr>
      <w:tr>
        <w:trPr>
          <w:trHeight w:val="351"/>
          <w:cantSplit/>
        </w:trPr>
        <w:tc>
          <w:tcPr>
            <w:tcW w:type="dxa" w:w="158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表格输出乱码</w:t>
            </w:r>
          </w:p>
        </w:tc>
        <w:tc>
          <w:tcPr>
            <w:tcW w:type="dxa" w:w="289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控制台 box-drawing 字符显示为乱码</w:t>
            </w:r>
          </w:p>
        </w:tc>
        <w:tc>
          <w:tcPr>
            <w:tcW w:type="dxa" w:w="272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Windows 控制台代码页与 UTF-8 不一致</w:t>
            </w:r>
          </w:p>
        </w:tc>
        <w:tc>
          <w:tcPr>
            <w:tcW w:type="dxa" w:w="243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以 JSON 为主，另生成 UTF-8 的 HTML 整理稿</w:t>
            </w:r>
          </w:p>
        </w:tc>
      </w:tr>
    </w:tbl>
    <w:p>
      <w:pPr>
        <w:keepNext w:val="0"/>
        <w:spacing w:before="0" w:after="20" w:line="30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最终使用的扫描命令（PowerShell，单行）：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638"/>
      </w:tblGrid>
      <w:tr>
        <w:tc>
          <w:tcPr>
            <w:tcW w:type="dxa" w:w="9184"/>
            <w:shd w:val="clear" w:color="auto"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onsolas" w:hAnsi="Consolas" w:eastAsia="等线" w:cs="Consolas"/>
                <w:b w:val="0"/>
                <w:i w:val="0"/>
                <w:color w:val="333333"/>
                <w:sz w:val="14"/>
              </w:rPr>
              <w:t>trivy fs --scanners license --license-full --offline-scan --skip-files "**/pom.xml" --format json --output output/trivy_dubbo.json data/dubbo-src/apache-dubbo-3.3.6-src</w:t>
            </w:r>
          </w:p>
        </w:tc>
      </w:tr>
    </w:tbl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需要说明：跳过 pom.xml 是为了绕开 Maven 远端解析，不影响源码文件头与 LICENSE/NOTICE 的许可证识别；但这也意味着本报告不覆盖 Maven 传递依赖，后文将用 .licenserc.yaml 的 67 项依赖声明补足运行时视角。</w:t>
      </w:r>
    </w:p>
    <w:p>
      <w:pPr>
        <w:pStyle w:val="Heading1"/>
        <w:keepNext/>
        <w:spacing w:before="100" w:after="80" w:line="264" w:lineRule="auto"/>
        <w:pBdr>
          <w:bottom w:val="single" w:sz="8" w:space="2" w:color="1F3864"/>
        </w:pBdr>
      </w:pPr>
      <w:r>
        <w:rPr>
          <w:rFonts w:ascii="Arial" w:hAnsi="Arial" w:eastAsia="黑体" w:cs="Arial"/>
          <w:b/>
          <w:i w:val="0"/>
          <w:color w:val="1F3864"/>
          <w:sz w:val="27"/>
        </w:rPr>
        <w:t>三、工具输出的检测报告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Trivy 对 4,758 个文件、约 19.06 MB 的源码树执行扫描（跳过 116 个 pom.xml），共输出 3,981 条许可证记录，覆盖 3,979 个文件；识别出 Apache-2.0、MIT、BSD-3-Clause 三种许可证。Java 文件覆盖率为 99.97%（3,976/3,977），仅有 1 个 Java 文件未被识别。</w:t>
      </w:r>
    </w:p>
    <w:p>
      <w:pPr>
        <w:keepNext/>
        <w:spacing w:before="2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表 4  工具输出总体统计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819"/>
        <w:gridCol w:w="4819"/>
      </w:tblGrid>
      <w:tr>
        <w:trPr>
          <w:trHeight w:val="369"/>
          <w:tblHeader w:val="true"/>
          <w:cantSplit/>
        </w:trPr>
        <w:tc>
          <w:tcPr>
            <w:tcW w:type="dxa" w:w="1814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7824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6"/>
              </w:rPr>
              <w:t>结果</w:t>
            </w:r>
          </w:p>
        </w:tc>
      </w:tr>
      <w:tr>
        <w:trPr>
          <w:trHeight w:val="283"/>
          <w:cantSplit/>
        </w:trPr>
        <w:tc>
          <w:tcPr>
            <w:tcW w:type="dxa" w:w="181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扫描对象</w:t>
            </w:r>
          </w:p>
        </w:tc>
        <w:tc>
          <w:tcPr>
            <w:tcW w:type="dxa" w:w="78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4,758 个文件 / 19.06 MB；3,977 个 Java 文件</w:t>
            </w:r>
          </w:p>
        </w:tc>
      </w:tr>
      <w:tr>
        <w:trPr>
          <w:trHeight w:val="283"/>
          <w:cantSplit/>
        </w:trPr>
        <w:tc>
          <w:tcPr>
            <w:tcW w:type="dxa" w:w="181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许可证记录</w:t>
            </w:r>
          </w:p>
        </w:tc>
        <w:tc>
          <w:tcPr>
            <w:tcW w:type="dxa" w:w="78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3,981 条，覆盖 3,979 个文件（同一文件可含多条）</w:t>
            </w:r>
          </w:p>
        </w:tc>
      </w:tr>
      <w:tr>
        <w:trPr>
          <w:trHeight w:val="283"/>
          <w:cantSplit/>
        </w:trPr>
        <w:tc>
          <w:tcPr>
            <w:tcW w:type="dxa" w:w="181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许可证种类</w:t>
            </w:r>
          </w:p>
        </w:tc>
        <w:tc>
          <w:tcPr>
            <w:tcW w:type="dxa" w:w="78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Apache-2.0（3,975 条）、MIT（4 条）、BSD-3-Clause（2 条）</w:t>
            </w:r>
          </w:p>
        </w:tc>
      </w:tr>
      <w:tr>
        <w:trPr>
          <w:trHeight w:val="283"/>
          <w:cantSplit/>
        </w:trPr>
        <w:tc>
          <w:tcPr>
            <w:tcW w:type="dxa" w:w="181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Java 覆盖</w:t>
            </w:r>
          </w:p>
        </w:tc>
        <w:tc>
          <w:tcPr>
            <w:tcW w:type="dxa" w:w="78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3,976 / 3,977（99.97%）；仅 ProtoTypeMap.java 未被识别</w:t>
            </w:r>
          </w:p>
        </w:tc>
      </w:tr>
      <w:tr>
        <w:trPr>
          <w:trHeight w:val="283"/>
          <w:cantSplit/>
        </w:trPr>
        <w:tc>
          <w:tcPr>
            <w:tcW w:type="dxa" w:w="181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识别置信度</w:t>
            </w:r>
          </w:p>
        </w:tc>
        <w:tc>
          <w:tcPr>
            <w:tcW w:type="dxa" w:w="78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0.917—1.000；类别均为 notice，severity 均为 LOW</w:t>
            </w:r>
          </w:p>
        </w:tc>
      </w:tr>
      <w:tr>
        <w:trPr>
          <w:trHeight w:val="283"/>
          <w:cantSplit/>
        </w:trPr>
        <w:tc>
          <w:tcPr>
            <w:tcW w:type="dxa" w:w="181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扫描耗时</w:t>
            </w:r>
          </w:p>
        </w:tc>
        <w:tc>
          <w:tcPr>
            <w:tcW w:type="dxa" w:w="78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6"/>
              </w:rPr>
              <w:t>10.4 s（Trivy 0.76.1，Windows x64，离线扫描）</w:t>
            </w:r>
          </w:p>
        </w:tc>
      </w:tr>
    </w:tbl>
    <w:p>
      <w:pPr>
        <w:keepNext/>
        <w:spacing w:before="8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表 5  许可证分布与关键文件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trHeight w:val="369"/>
          <w:tblHeader w:val="true"/>
          <w:cantSplit/>
        </w:trPr>
        <w:tc>
          <w:tcPr>
            <w:tcW w:type="dxa" w:w="1361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SPDX 标识</w:t>
            </w:r>
          </w:p>
        </w:tc>
        <w:tc>
          <w:tcPr>
            <w:tcW w:type="dxa" w:w="1020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检出条目</w:t>
            </w:r>
          </w:p>
        </w:tc>
        <w:tc>
          <w:tcPr>
            <w:tcW w:type="dxa" w:w="1020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Java 文件</w:t>
            </w:r>
          </w:p>
        </w:tc>
        <w:tc>
          <w:tcPr>
            <w:tcW w:type="dxa" w:w="3515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主要位置</w:t>
            </w:r>
          </w:p>
        </w:tc>
        <w:tc>
          <w:tcPr>
            <w:tcW w:type="dxa" w:w="2721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核心义务</w:t>
            </w:r>
          </w:p>
        </w:tc>
      </w:tr>
      <w:tr>
        <w:trPr>
          <w:trHeight w:val="351"/>
          <w:cantSplit/>
        </w:trPr>
        <w:tc>
          <w:tcPr>
            <w:tcW w:type="dxa" w:w="136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Apache-2.0</w:t>
            </w:r>
          </w:p>
        </w:tc>
        <w:tc>
          <w:tcPr>
            <w:tcW w:type="dxa" w:w="10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3,975</w:t>
            </w:r>
          </w:p>
        </w:tc>
        <w:tc>
          <w:tcPr>
            <w:tcW w:type="dxa" w:w="10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3,972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LICENSE、绝大多数 Java 文件</w:t>
            </w:r>
          </w:p>
        </w:tc>
        <w:tc>
          <w:tcPr>
            <w:tcW w:type="dxa" w:w="272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保留版权、LICENSE、NOTICE；修改文件需标注</w:t>
            </w:r>
          </w:p>
        </w:tc>
      </w:tr>
      <w:tr>
        <w:trPr>
          <w:trHeight w:val="351"/>
          <w:cantSplit/>
        </w:trPr>
        <w:tc>
          <w:tcPr>
            <w:tcW w:type="dxa" w:w="136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MIT</w:t>
            </w:r>
          </w:p>
        </w:tc>
        <w:tc>
          <w:tcPr>
            <w:tcW w:type="dxa" w:w="10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10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FormattingTuple.java、MessageFormatter.java、CIDRUtils.java、LICENSE</w:t>
            </w:r>
          </w:p>
        </w:tc>
        <w:tc>
          <w:tcPr>
            <w:tcW w:type="dxa" w:w="272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保留版权与许可声明</w:t>
            </w:r>
          </w:p>
        </w:tc>
      </w:tr>
      <w:tr>
        <w:trPr>
          <w:trHeight w:val="351"/>
          <w:cantSplit/>
        </w:trPr>
        <w:tc>
          <w:tcPr>
            <w:tcW w:type="dxa" w:w="136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BSD-3-Clause</w:t>
            </w:r>
          </w:p>
        </w:tc>
        <w:tc>
          <w:tcPr>
            <w:tcW w:type="dxa" w:w="10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10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Utf8Utils.java、LICENSE</w:t>
            </w:r>
          </w:p>
        </w:tc>
        <w:tc>
          <w:tcPr>
            <w:tcW w:type="dxa" w:w="272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保留版权、三项条件与免责声明；不得背书</w:t>
            </w:r>
          </w:p>
        </w:tc>
      </w:tr>
      <w:tr>
        <w:trPr>
          <w:trHeight w:val="351"/>
          <w:cantSplit/>
        </w:trPr>
        <w:tc>
          <w:tcPr>
            <w:tcW w:type="dxa" w:w="136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未识别</w:t>
            </w:r>
          </w:p>
        </w:tc>
        <w:tc>
          <w:tcPr>
            <w:tcW w:type="dxa" w:w="10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—</w:t>
            </w:r>
          </w:p>
        </w:tc>
        <w:tc>
          <w:tcPr>
            <w:tcW w:type="dxa" w:w="10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ProtoTypeMap.java（人工复核为 BSD-3-Clause）</w:t>
            </w:r>
          </w:p>
        </w:tc>
        <w:tc>
          <w:tcPr>
            <w:tcW w:type="dxa" w:w="272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补全 BSD-3-Clause 全文并修正引用</w:t>
            </w:r>
          </w:p>
        </w:tc>
      </w:tr>
    </w:tbl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从 Java 文件构成看，3,972 个文件为 Apache-2.0 单许可，3 个文件为 MIT 单许可（FormattingTuple.java、MessageFormatter.java、CIDRUtils.java），1 个文件为 BSD-3-Clause 单许可（Utf8Utils.java），1 个文件未识别（ProtoTypeMap.java）。这一分布与项目“Apache-2.0 为主、少量第三方兼容许可”的定位一致。</w:t>
      </w:r>
    </w:p>
    <w:p>
      <w:pPr>
        <w:keepNext/>
        <w:spacing w:before="4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表 6  第三方关键文件复核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369"/>
          <w:tblHeader w:val="true"/>
          <w:cantSplit/>
        </w:trPr>
        <w:tc>
          <w:tcPr>
            <w:tcW w:type="dxa" w:w="2268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文件</w:t>
            </w:r>
          </w:p>
        </w:tc>
        <w:tc>
          <w:tcPr>
            <w:tcW w:type="dxa" w:w="2608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工具结果</w:t>
            </w:r>
          </w:p>
        </w:tc>
        <w:tc>
          <w:tcPr>
            <w:tcW w:type="dxa" w:w="2494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版权 / 来源</w:t>
            </w:r>
          </w:p>
        </w:tc>
        <w:tc>
          <w:tcPr>
            <w:tcW w:type="dxa" w:w="2268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合规判断</w:t>
            </w:r>
          </w:p>
        </w:tc>
      </w:tr>
      <w:tr>
        <w:trPr>
          <w:trHeight w:val="351"/>
          <w:cantSplit/>
        </w:trPr>
        <w:tc>
          <w:tcPr>
            <w:tcW w:type="dxa" w:w="22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ProtoTypeMap.java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无记录（0 条）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Salesforce 2019</w:t>
            </w:r>
          </w:p>
        </w:tc>
        <w:tc>
          <w:tcPr>
            <w:tcW w:type="dxa" w:w="22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BSD-3-Clause；工具漏检，人工补录</w:t>
            </w:r>
          </w:p>
        </w:tc>
      </w:tr>
      <w:tr>
        <w:trPr>
          <w:trHeight w:val="351"/>
          <w:cantSplit/>
        </w:trPr>
        <w:tc>
          <w:tcPr>
            <w:tcW w:type="dxa" w:w="22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Utf8Utils.java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BSD-3-Clause（0.981）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Google 2008</w:t>
            </w:r>
          </w:p>
        </w:tc>
        <w:tc>
          <w:tcPr>
            <w:tcW w:type="dxa" w:w="22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与 LICENSE 中 Protocol Buffers BSD 文本一致</w:t>
            </w:r>
          </w:p>
        </w:tc>
      </w:tr>
      <w:tr>
        <w:trPr>
          <w:trHeight w:val="351"/>
          <w:cantSplit/>
        </w:trPr>
        <w:tc>
          <w:tcPr>
            <w:tcW w:type="dxa" w:w="22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CIDRUtils.java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MIT（1.000）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Edin Dazdarevic 2013</w:t>
            </w:r>
          </w:p>
        </w:tc>
        <w:tc>
          <w:tcPr>
            <w:tcW w:type="dxa" w:w="22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与 LICENSE 中 MIT 文本一致</w:t>
            </w:r>
          </w:p>
        </w:tc>
      </w:tr>
      <w:tr>
        <w:trPr>
          <w:trHeight w:val="351"/>
          <w:cantSplit/>
        </w:trPr>
        <w:tc>
          <w:tcPr>
            <w:tcW w:type="dxa" w:w="22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FormattingTuple / MessageFormatter</w:t>
            </w:r>
          </w:p>
        </w:tc>
        <w:tc>
          <w:tcPr>
            <w:tcW w:type="dxa" w:w="26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MIT（1.000）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QOS.ch 2004—2011</w:t>
            </w:r>
          </w:p>
        </w:tc>
        <w:tc>
          <w:tcPr>
            <w:tcW w:type="dxa" w:w="226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SLF4J 派生代码；保留文件头声明</w:t>
            </w:r>
          </w:p>
        </w:tc>
      </w:tr>
    </w:tbl>
    <w:p>
      <w:pPr>
        <w:keepNext w:val="0"/>
        <w:spacing w:before="0" w:after="2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18"/>
        </w:rPr>
        <w:t>工具原始 JSON 的典型记录如下（Utf8Utils.java，BSD-3-Clause，置信度 0.981）：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638"/>
      </w:tblGrid>
      <w:tr>
        <w:tc>
          <w:tcPr>
            <w:tcW w:type="dxa" w:w="9184"/>
            <w:shd w:val="clear" w:color="auto"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onsolas" w:hAnsi="Consolas" w:eastAsia="等线" w:cs="Consolas"/>
                <w:b w:val="0"/>
                <w:i w:val="0"/>
                <w:color w:val="333333"/>
                <w:sz w:val="14"/>
              </w:rPr>
              <w:t>{</w:t>
              <w:br/>
              <w:t xml:space="preserve">  "Name": "BSD-3-Clause",</w:t>
              <w:br/>
              <w:t xml:space="preserve">  "FilePath": "dubbo-common/src/main/java/org/apache/dubbo/common/utils/Utf8Utils.java",</w:t>
              <w:br/>
              <w:t xml:space="preserve">  "Confidence": 0.9812,</w:t>
              <w:br/>
              <w:t xml:space="preserve">  "Category": "notice",</w:t>
              <w:br/>
              <w:t xml:space="preserve">  "Severity": "LOW"</w:t>
              <w:br/>
              <w:t>}</w:t>
            </w:r>
          </w:p>
        </w:tc>
      </w:tr>
    </w:tbl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18"/>
        </w:rPr>
        <w:t>原始结果已保存为 output/trivy_dubbo.json（约 1.57 MB）；同时生成 UTF-8 的 HTML 整理稿，完整列出 3,981 条记录及文件路径，便于逐条复核。</w:t>
      </w:r>
    </w:p>
    <w:p>
      <w:pPr>
        <w:pStyle w:val="Heading1"/>
        <w:keepNext/>
        <w:spacing w:before="100" w:after="80" w:line="264" w:lineRule="auto"/>
        <w:pBdr>
          <w:bottom w:val="single" w:sz="8" w:space="2" w:color="1F3864"/>
        </w:pBdr>
      </w:pPr>
      <w:r>
        <w:rPr>
          <w:rFonts w:ascii="Arial" w:hAnsi="Arial" w:eastAsia="黑体" w:cs="Arial"/>
          <w:b/>
          <w:i w:val="0"/>
          <w:color w:val="1F3864"/>
          <w:sz w:val="27"/>
        </w:rPr>
        <w:t>四、检测结果分析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以下从许可证义务、兼容性、工具漏检和运行时依赖四个角度分析。需要强调：Trivy 将三类许可证的 severity 都标为 LOW，这是其默认策略映射，并不代表 BSD 的署名义务可以忽略；许可证合规的核心是“义务是否被满足”，而不是工具给出的等级。</w:t>
      </w:r>
    </w:p>
    <w:p>
      <w:pPr>
        <w:keepNext/>
        <w:spacing w:before="2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表 7  主要许可证义务与 Dubbo 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369"/>
          <w:tblHeader w:val="true"/>
          <w:cantSplit/>
        </w:trPr>
        <w:tc>
          <w:tcPr>
            <w:tcW w:type="dxa" w:w="1701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4422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核心义务</w:t>
            </w:r>
          </w:p>
        </w:tc>
        <w:tc>
          <w:tcPr>
            <w:tcW w:type="dxa" w:w="3061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Dubbo 现状</w:t>
            </w:r>
          </w:p>
        </w:tc>
        <w:tc>
          <w:tcPr>
            <w:tcW w:type="dxa" w:w="794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风险</w:t>
            </w:r>
          </w:p>
        </w:tc>
      </w:tr>
      <w:tr>
        <w:trPr>
          <w:trHeight w:val="397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Apache-2.0</w:t>
            </w:r>
          </w:p>
        </w:tc>
        <w:tc>
          <w:tcPr>
            <w:tcW w:type="dxa" w:w="442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提供 LICENSE；保留 NOTICE；修改文件加显著变更说明；保留专利/商标/归属声明；商标不得暗示背书</w:t>
            </w:r>
          </w:p>
        </w:tc>
        <w:tc>
          <w:tcPr>
            <w:tcW w:type="dxa" w:w="306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根 LICENSE、NOTICE 齐全；3,972 个 Java 文件识别为 Apache-2.0，其中 3,940 个保留 ASF 头（人工核对）</w:t>
            </w:r>
          </w:p>
        </w:tc>
        <w:tc>
          <w:tcPr>
            <w:tcW w:type="dxa" w:w="7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低</w:t>
            </w:r>
          </w:p>
        </w:tc>
      </w:tr>
      <w:tr>
        <w:trPr>
          <w:trHeight w:val="397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MIT</w:t>
            </w:r>
          </w:p>
        </w:tc>
        <w:tc>
          <w:tcPr>
            <w:tcW w:type="dxa" w:w="442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在副本或实质性部分中保留版权声明与许可声明</w:t>
            </w:r>
          </w:p>
        </w:tc>
        <w:tc>
          <w:tcPr>
            <w:tcW w:type="dxa" w:w="306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3 个 Java 文件保留 MIT 头；CIDRUtils 的 MIT 全文在 LICENSE 附录</w:t>
            </w:r>
          </w:p>
        </w:tc>
        <w:tc>
          <w:tcPr>
            <w:tcW w:type="dxa" w:w="7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低</w:t>
            </w:r>
          </w:p>
        </w:tc>
      </w:tr>
      <w:tr>
        <w:trPr>
          <w:trHeight w:val="397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BSD-3-Clause</w:t>
            </w:r>
          </w:p>
        </w:tc>
        <w:tc>
          <w:tcPr>
            <w:tcW w:type="dxa" w:w="442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保留版权、三项条件与免责声明；不得用作者/机构名义背书</w:t>
            </w:r>
          </w:p>
        </w:tc>
        <w:tc>
          <w:tcPr>
            <w:tcW w:type="dxa" w:w="306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Utf8Utils 由 LICENSE 中 Protocol Buffers BSD 文本覆盖；ProtoTypeMap 仅有名称引用，全文缺失</w:t>
            </w:r>
          </w:p>
        </w:tc>
        <w:tc>
          <w:tcPr>
            <w:tcW w:type="dxa" w:w="7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中</w:t>
            </w:r>
          </w:p>
        </w:tc>
      </w:tr>
      <w:tr>
        <w:trPr>
          <w:trHeight w:val="397"/>
          <w:cantSplit/>
        </w:trPr>
        <w:tc>
          <w:tcPr>
            <w:tcW w:type="dxa" w:w="170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CDDL / EPL（运行时依赖）</w:t>
            </w:r>
          </w:p>
        </w:tc>
        <w:tc>
          <w:tcPr>
            <w:tcW w:type="dxa" w:w="442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弱 copyleft，按文件级互惠；分发需附许可证/通知，修改受控文件可能触发源码提供义务</w:t>
            </w:r>
          </w:p>
        </w:tc>
        <w:tc>
          <w:tcPr>
            <w:tcW w:type="dxa" w:w="306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源码扫描未覆盖；.licenserc.yaml 声明 6 项 CDDL、6 项 EPL</w:t>
            </w:r>
          </w:p>
        </w:tc>
        <w:tc>
          <w:tcPr>
            <w:tcW w:type="dxa" w:w="79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中</w:t>
            </w:r>
          </w:p>
        </w:tc>
      </w:tr>
    </w:tbl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（1）整体结构清晰，强 copyleft 未出现。3,972 个 Java 文件为 Apache-2.0 单许可，3 个 MIT、1 个 BSD-3-Clause，未发现 GPL/AGPL/SSPL 等强 copyleft 许可证。Apache-2.0 与 MIT、BSD-3-Clause 均为宽松许可，彼此兼容；只要保留相应声明，Dubbo 作为 Apache-2.0 项目分发不存在许可证兼容性障碍。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（2）真正的风险点是 ProtoTypeMap.java 的 BSD-3-Clause 通知不完整。该文件头部写明 “Licensed under the BSD 3-Clause license”，并要求查看仓库根目录的 LICENSE.txt；但源码包中只有 LICENSE（无 LICENSE.txt），且 LICENSE 附录没有 Salesforce/grpc-java-contrib 的 BSD-3-Clause 全文。NOTICE 只写了版权与“licensed under the BSD 3-Clause License”，没有三项条件和免责声明。BSD-3-Clause 要求源码再分发时保留版权声明、条件列表和免责声明，因此仅靠 NOTICE 的名称引用并不充分。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（3）工具漏检恰好暴露了“名称引用”与“全文文本”的差异。Trivy 对 3,976 个 Java 文件给出结果，唯独漏掉 ProtoTypeMap.java；原因是该文件只有许可证名称和链接，没有可匹配的全文。若只依赖工具汇总，会得出“Java 覆盖率 100%、无 BSD 风险”的错误结论。这也说明许可证合规不能只看工具通过率，必须对“工具未识别”的文件做人工抽样复核。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（4）运行时依赖需要单独治理。.licenserc.yaml 声明了 67 项依赖：Apache-2.0 46 项、BSD-3-Clause 6 项、MIT 3 项、CDDL（1.0/1.1）6 项、EPL（1.0/2.0）6 项。CDDL/EPL 属于弱 copyleft，通常不要求整个项目开源，但若修改了受控文件，可能触发按文件提供源码的义务；分发二进制时还需附上相应许可证与通知。源码扫描因跳过 POM 而未覆盖这些依赖，这是本报告最重要的范围限制。</w:t>
      </w:r>
    </w:p>
    <w:p>
      <w:pPr>
        <w:keepNext/>
        <w:spacing w:before="4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表 8  合规风险矩阵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369"/>
          <w:tblHeader w:val="true"/>
          <w:cantSplit/>
        </w:trPr>
        <w:tc>
          <w:tcPr>
            <w:tcW w:type="dxa" w:w="2551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风险项</w:t>
            </w:r>
          </w:p>
        </w:tc>
        <w:tc>
          <w:tcPr>
            <w:tcW w:type="dxa" w:w="737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等级</w:t>
            </w:r>
          </w:p>
        </w:tc>
        <w:tc>
          <w:tcPr>
            <w:tcW w:type="dxa" w:w="3515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依据</w:t>
            </w:r>
          </w:p>
        </w:tc>
        <w:tc>
          <w:tcPr>
            <w:tcW w:type="dxa" w:w="2835"/>
            <w:shd w:val="clear" w:color="auto" w:fill="1F386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黑体" w:cs="Arial"/>
                <w:b/>
                <w:i w:val="0"/>
                <w:color w:val="FFFFFF"/>
                <w:sz w:val="15"/>
              </w:rPr>
              <w:t>建议</w:t>
            </w:r>
          </w:p>
        </w:tc>
      </w:tr>
      <w:tr>
        <w:trPr>
          <w:trHeight w:val="340"/>
          <w:cantSplit/>
        </w:trPr>
        <w:tc>
          <w:tcPr>
            <w:tcW w:type="dxa" w:w="255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Salesforce BSD 通知不完整</w:t>
            </w:r>
          </w:p>
        </w:tc>
        <w:tc>
          <w:tcPr>
            <w:tcW w:type="dxa" w:w="7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中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ProtoTypeMap.java 仅名称引用；LICENSE 无对应全文；工具漏检</w:t>
            </w:r>
          </w:p>
        </w:tc>
        <w:tc>
          <w:tcPr>
            <w:tcW w:type="dxa" w:w="283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补全 BSD-3-Clause 全文，修正 LICENSE.txt 引用</w:t>
            </w:r>
          </w:p>
        </w:tc>
      </w:tr>
      <w:tr>
        <w:trPr>
          <w:trHeight w:val="340"/>
          <w:cantSplit/>
        </w:trPr>
        <w:tc>
          <w:tcPr>
            <w:tcW w:type="dxa" w:w="255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CDDL/EPL 运行时依赖</w:t>
            </w:r>
          </w:p>
        </w:tc>
        <w:tc>
          <w:tcPr>
            <w:tcW w:type="dxa" w:w="7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中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.licenserc.yaml 声明 6 项 CDDL、6 项 EPL</w:t>
            </w:r>
          </w:p>
        </w:tc>
        <w:tc>
          <w:tcPr>
            <w:tcW w:type="dxa" w:w="283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生成并随包分发 THIRD-PARTY.txt；法务复核</w:t>
            </w:r>
          </w:p>
        </w:tc>
      </w:tr>
      <w:tr>
        <w:trPr>
          <w:trHeight w:val="340"/>
          <w:cantSplit/>
        </w:trPr>
        <w:tc>
          <w:tcPr>
            <w:tcW w:type="dxa" w:w="255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传递依赖未扫描</w:t>
            </w:r>
          </w:p>
        </w:tc>
        <w:tc>
          <w:tcPr>
            <w:tcW w:type="dxa" w:w="7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中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跳过 pom.xml，未解析 Maven 依赖</w:t>
            </w:r>
          </w:p>
        </w:tc>
        <w:tc>
          <w:tcPr>
            <w:tcW w:type="dxa" w:w="283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发布前用 SBOM/SCA 扫描二进制分发包</w:t>
            </w:r>
          </w:p>
        </w:tc>
      </w:tr>
      <w:tr>
        <w:trPr>
          <w:trHeight w:val="340"/>
          <w:cantSplit/>
        </w:trPr>
        <w:tc>
          <w:tcPr>
            <w:tcW w:type="dxa" w:w="255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Apache NOTICE / 商标</w:t>
            </w:r>
          </w:p>
        </w:tc>
        <w:tc>
          <w:tcPr>
            <w:tcW w:type="dxa" w:w="7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低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LICENSE、NOTICE 齐全；Apache 商标政策明确</w:t>
            </w:r>
          </w:p>
        </w:tc>
        <w:tc>
          <w:tcPr>
            <w:tcW w:type="dxa" w:w="283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val="clear" w:color="auto" w:fill="F2F5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保留 NOTICE；不暗示 ASF 背书</w:t>
            </w:r>
          </w:p>
        </w:tc>
      </w:tr>
      <w:tr>
        <w:trPr>
          <w:trHeight w:val="340"/>
          <w:cantSplit/>
        </w:trPr>
        <w:tc>
          <w:tcPr>
            <w:tcW w:type="dxa" w:w="255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GPL/AGPL 等强 copyleft</w:t>
            </w:r>
          </w:p>
        </w:tc>
        <w:tc>
          <w:tcPr>
            <w:tcW w:type="dxa" w:w="73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低</w:t>
            </w:r>
          </w:p>
        </w:tc>
        <w:tc>
          <w:tcPr>
            <w:tcW w:type="dxa" w:w="351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源码树未发现</w:t>
            </w:r>
          </w:p>
        </w:tc>
        <w:tc>
          <w:tcPr>
            <w:tcW w:type="dxa" w:w="283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222222"/>
                <w:sz w:val="15"/>
              </w:rPr>
              <w:t>CI 设置禁止性许可证门禁</w:t>
            </w:r>
          </w:p>
        </w:tc>
      </w:tr>
    </w:tbl>
    <w:p>
      <w:pPr>
        <w:pStyle w:val="Heading2"/>
        <w:keepNext/>
        <w:spacing w:before="80" w:after="40" w:line="264" w:lineRule="auto"/>
      </w:pPr>
      <w:r>
        <w:rPr>
          <w:rFonts w:ascii="Arial" w:hAnsi="Arial" w:eastAsia="黑体" w:cs="Arial"/>
          <w:b/>
          <w:i w:val="0"/>
          <w:color w:val="2E5C8A"/>
          <w:sz w:val="22"/>
        </w:rPr>
        <w:t>4.1 合规建议</w:t>
      </w:r>
    </w:p>
    <w:p>
      <w:pPr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1. 补齐 BSD-3-Clause 全文：在根目录增加 LICENSE-BSD-3-Clause.txt（或并入 LICENSE），包含 Salesforce 版权、三项条件与免责声明；同时把 ProtoTypeMap.java 的 LICENSE.txt 引用改为实际文件路径。</w:t>
      </w:r>
    </w:p>
    <w:p>
      <w:pPr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2. 随分发物提供完整通知：保留 LICENSE、NOTICE，并生成 THIRD-PARTY.txt；项目已有 licenseCheck.sh（Maven license 插件）可生成依赖许可证清单，应在发布流程中固化。</w:t>
      </w:r>
    </w:p>
    <w:p>
      <w:pPr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3. 把许可证扫描纳入 CI：每次发布执行 trivy fs --scanners license --license-full，保存 JSON 作为审计证据；对 GPL/AGPL/SSPL 设置失败门禁，对 CDDL/EPL 设置人工复核。</w:t>
      </w:r>
    </w:p>
    <w:p>
      <w:pPr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4. 补充 SBOM/二进制扫描：源码扫描不能替代依赖审计；建议用 CycloneDX/SPDX 生成 SBOM，并对 dubbo-all 等二进制分发包再做一次许可证扫描。</w:t>
      </w:r>
    </w:p>
    <w:p>
      <w:pPr>
        <w:keepNext w:val="0"/>
        <w:spacing w:before="0" w:after="30" w:line="288" w:lineRule="auto"/>
        <w:ind w:left="510" w:hanging="255"/>
      </w:pPr>
      <w:r>
        <w:rPr>
          <w:rFonts w:ascii="Times New Roman" w:hAnsi="Times New Roman" w:eastAsia="宋体" w:cs="Times New Roman"/>
          <w:b w:val="0"/>
          <w:i w:val="0"/>
          <w:color w:val="222222"/>
          <w:sz w:val="19"/>
        </w:rPr>
        <w:t>5. 建立人工复核清单：对“工具未识别”“仅有许可证名称/链接”“NOTICE 与 LICENSE 不一致”的文件逐条复核；本次的 ProtoTypeMap.java 应作为首个案例。</w:t>
      </w:r>
    </w:p>
    <w:p>
      <w:pPr>
        <w:pStyle w:val="Heading1"/>
        <w:keepNext/>
        <w:spacing w:before="100" w:after="80" w:line="264" w:lineRule="auto"/>
        <w:pBdr>
          <w:bottom w:val="single" w:sz="8" w:space="2" w:color="1F3864"/>
        </w:pBdr>
      </w:pPr>
      <w:r>
        <w:rPr>
          <w:rFonts w:ascii="Arial" w:hAnsi="Arial" w:eastAsia="黑体" w:cs="Arial"/>
          <w:b/>
          <w:i w:val="0"/>
          <w:color w:val="1F3864"/>
          <w:sz w:val="27"/>
        </w:rPr>
        <w:t>五、结论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Apache Dubbo 3.3.6 是一套以 Apache-2.0 为主、少量 MIT/BSD-3-Clause 第三方代码共存的微服务框架。Trivy 0.76.1 在 10.4 s 内完成 4,758 个文件的源码树扫描（跳过 116 个 pom.xml），给出 3,981 条文件级许可证记录，Java 覆盖率达 99.97%，未发现 GPL/AGPL 等强 copyleft 许可证，整体许可证结构清晰、兼容性良好。</w:t>
      </w:r>
    </w:p>
    <w:p>
      <w:pPr>
        <w:keepNext w:val="0"/>
        <w:spacing w:before="0" w:after="40" w:line="300" w:lineRule="auto"/>
        <w:ind w:firstLine="400"/>
      </w:pPr>
      <w:r>
        <w:rPr>
          <w:rFonts w:ascii="Times New Roman" w:hAnsi="Times New Roman" w:eastAsia="宋体" w:cs="Times New Roman"/>
          <w:b w:val="0"/>
          <w:i w:val="0"/>
          <w:color w:val="222222"/>
          <w:sz w:val="21"/>
        </w:rPr>
        <w:t>主要合规缺口不在许可证类型，而在通知完整性：ProtoTypeMap.java 的 BSD-3-Clause 仅有名称引用，缺少全文；工具也因此漏检。补齐该全文、随包提供 LICENSE/NOTICE/THIRD-PARTY.txt，并对 CDDL/EPL 运行时依赖做二进制级复核后，Dubbo 的再分发合规风险可控制在较低水平。本报告也说明：许可证工具擅长“发现线索”，但“是否满足义务”仍需要人工判断。</w:t>
      </w:r>
    </w:p>
    <w:p>
      <w:pPr>
        <w:keepNext w:val="0"/>
        <w:spacing w:before="80" w:after="20" w:line="240" w:lineRule="auto"/>
      </w:pPr>
      <w:r>
        <w:rPr>
          <w:rFonts w:ascii="Arial" w:hAnsi="Arial" w:eastAsia="黑体" w:cs="Arial"/>
          <w:b/>
          <w:i w:val="0"/>
          <w:color w:val="1F3864"/>
          <w:sz w:val="20"/>
        </w:rPr>
        <w:t>附：主要检测产物</w:t>
      </w:r>
    </w:p>
    <w:p>
      <w:pPr>
        <w:keepNext w:val="0"/>
        <w:spacing w:before="0" w:after="10" w:line="252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· output/trivy_dubbo.json：Trivy 原始 JSON（约 1.57 MB，3,981 条记录，可用于复核与二次统计）。</w:t>
      </w:r>
    </w:p>
    <w:p>
      <w:pPr>
        <w:keepNext w:val="0"/>
        <w:spacing w:before="0" w:after="10" w:line="252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· output/trivy_report.html：UTF-8 可读整理稿（摘要、许可证分布与 3,981 条明细，支持关键字过滤）。</w:t>
      </w:r>
    </w:p>
    <w:p>
      <w:pPr>
        <w:keepNext w:val="0"/>
        <w:spacing w:before="0" w:after="10" w:line="252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· data/apache-dubbo-3.3.6-src.zip：被扫描源码包，SHA-256 2551A403…87C3，SHA-512 与 ASF 官方校验一致。</w:t>
      </w:r>
    </w:p>
    <w:p>
      <w:pPr>
        <w:pStyle w:val="Heading1"/>
        <w:keepNext/>
        <w:spacing w:before="120" w:after="40" w:line="264" w:lineRule="auto"/>
        <w:pBdr>
          <w:bottom w:val="single" w:sz="8" w:space="2" w:color="1F3864"/>
        </w:pBdr>
      </w:pPr>
      <w:r>
        <w:rPr>
          <w:rFonts w:ascii="Arial" w:hAnsi="Arial" w:eastAsia="黑体" w:cs="Arial"/>
          <w:b/>
          <w:i w:val="0"/>
          <w:color w:val="1F3864"/>
          <w:sz w:val="27"/>
        </w:rPr>
        <w:t>参考资料</w:t>
      </w:r>
    </w:p>
    <w:p>
      <w:pPr>
        <w:keepNext w:val="0"/>
        <w:spacing w:before="0" w:after="10" w:line="240" w:lineRule="auto"/>
        <w:ind w:left="340" w:hanging="34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[1] Apache Software Foundation. Apache Dubbo. https://dubbo.apache.org/</w:t>
      </w:r>
    </w:p>
    <w:p>
      <w:pPr>
        <w:keepNext w:val="0"/>
        <w:spacing w:before="0" w:after="10" w:line="240" w:lineRule="auto"/>
        <w:ind w:left="340" w:hanging="34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[2] Apache Software Foundation. Apache License, Version 2.0. https://www.apache.org/licenses/LICENSE-2.0</w:t>
      </w:r>
    </w:p>
    <w:p>
      <w:pPr>
        <w:keepNext w:val="0"/>
        <w:spacing w:before="0" w:after="10" w:line="240" w:lineRule="auto"/>
        <w:ind w:left="340" w:hanging="34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[3] Trivy Documentation. License Scanning. https://trivy.dev/latest/docs/scanner/license/</w:t>
      </w:r>
    </w:p>
    <w:p>
      <w:pPr>
        <w:keepNext w:val="0"/>
        <w:spacing w:before="0" w:after="10" w:line="240" w:lineRule="auto"/>
        <w:ind w:left="340" w:hanging="34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[4] Apache Dubbo 3.3.6 Source Release. https://archive.apache.org/dist/dubbo/3.3.6/apache-dubbo-3.3.6-src.zip</w:t>
      </w:r>
    </w:p>
    <w:p>
      <w:pPr>
        <w:keepNext w:val="0"/>
        <w:spacing w:before="0" w:after="10" w:line="240" w:lineRule="auto"/>
        <w:ind w:left="340" w:hanging="34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[5] SPDX License List. https://spdx.org/licenses/</w:t>
      </w:r>
    </w:p>
    <w:p>
      <w:pPr>
        <w:keepNext w:val="0"/>
        <w:spacing w:before="0" w:after="10" w:line="240" w:lineRule="auto"/>
        <w:ind w:left="340" w:hanging="340"/>
      </w:pP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[6] Open Source Initiative. The 3-Clause BSD License. https://opensource.org/license/bsd-3-clause</w:t>
      </w:r>
    </w:p>
    <w:p>
      <w:pPr>
        <w:keepNext w:val="0"/>
        <w:spacing w:before="80" w:after="0" w:line="240" w:lineRule="auto"/>
      </w:pPr>
      <w:r>
        <w:rPr>
          <w:rFonts w:ascii="Times New Roman" w:hAnsi="Times New Roman" w:eastAsia="宋体" w:cs="Times New Roman"/>
          <w:b w:val="0"/>
          <w:i/>
          <w:color w:val="595959"/>
          <w:sz w:val="16"/>
        </w:rPr>
        <w:t>声明：本报告仅用于课程作业的许可证合规分析，不构成法律意见。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tabs>
        <w:tab w:pos="4706" w:val="center"/>
        <w:tab w:pos="9411" w:val="right"/>
      </w:tabs>
      <w:spacing w:before="0" w:after="0" w:line="240" w:lineRule="auto"/>
      <w:jc w:val="left"/>
    </w:pPr>
    <w:r>
      <w:rPr>
        <w:rFonts w:ascii="Times New Roman" w:hAnsi="Times New Roman" w:eastAsia="宋体" w:cs="Times New Roman"/>
        <w:b w:val="0"/>
        <w:i w:val="0"/>
        <w:color w:val="7F7F7F"/>
        <w:sz w:val="16"/>
      </w:rPr>
      <w:t>开源软件许可证合规检测报告</w:t>
      <w:tab/>
    </w:r>
    <w:r>
      <w:rPr>
        <w:rFonts w:ascii="Times New Roman" w:hAnsi="Times New Roman" w:eastAsia="宋体" w:cs="Times New Roman"/>
        <w:b w:val="0"/>
        <w:i w:val="0"/>
        <w:color w:val="595959"/>
        <w:sz w:val="16"/>
      </w:rPr>
      <w:t xml:space="preserve">第 </w:t>
    </w:r>
    <w:r>
      <w:rPr>
        <w:rFonts w:ascii="Times New Roman" w:hAnsi="Times New Roman" w:eastAsia="宋体" w:cs="Times New Roman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b w:val="0"/>
        <w:i w:val="0"/>
        <w:color w:val="595959"/>
        <w:sz w:val="16"/>
      </w:rPr>
      <w:t xml:space="preserve"> 页</w:t>
    </w:r>
    <w:r>
      <w:rPr>
        <w:rFonts w:ascii="Times New Roman" w:hAnsi="Times New Roman" w:eastAsia="宋体" w:cs="Times New Roman"/>
        <w:b w:val="0"/>
        <w:i w:val="0"/>
        <w:color w:val="7F7F7F"/>
        <w:sz w:val="16"/>
      </w:rPr>
      <w:tab/>
      <w:t>Apache Dubbo 3.3.6 许可证合规检测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Dubbo 开源许可证合规检测报告</dc:title>
  <dc:subject>开源软件许可合规平时作业1</dc:subject>
  <dc:creator>陆文雨（f25011308）</dc:creator>
  <cp:keywords>Apache Dubbo, Trivy, 开源许可证, 合规, BSD-3-Clause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