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00"/>
        <w:gridCol w:w="3360"/>
        <w:gridCol w:w="4140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Group Name: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Group 26</w:t>
            </w:r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Date of Meeting: 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  <w:r>
              <w:rPr>
                <w:shd w:val="nil" w:color="auto" w:fill="auto"/>
                <w:rtl w:val="0"/>
                <w:lang w:val="en-US"/>
              </w:rPr>
              <w:t>9</w:t>
            </w:r>
            <w:r>
              <w:rPr>
                <w:shd w:val="nil" w:color="auto" w:fill="auto"/>
                <w:rtl w:val="0"/>
                <w:lang w:val="en-US"/>
              </w:rPr>
              <w:t>/10/2022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Start Time: 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1pm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End Time:</w:t>
            </w:r>
          </w:p>
        </w:tc>
        <w:tc>
          <w:tcPr>
            <w:tcW w:type="dxa" w:w="750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1.40pm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People Present: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Tana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shd w:val="nil" w:color="auto" w:fill="auto"/>
                <w:rtl w:val="0"/>
                <w:lang w:val="en-US"/>
              </w:rPr>
              <w:t>Chinmayee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Joseph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</w:rPr>
              <w:t>Matthew Estienne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People Absent:</w:t>
            </w:r>
          </w:p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Reason: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Sonali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libri" w:hAnsi="Calibri"/>
                <w:rtl w:val="0"/>
                <w:lang w:val="en-US"/>
              </w:rPr>
              <w:t>Sport commitments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Euan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Sport commitments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Upenyu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Work commitments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1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Em</w:t>
            </w:r>
          </w:p>
        </w:tc>
        <w:tc>
          <w:tcPr>
            <w:tcW w:type="dxa" w:w="41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Topics Discussed:</w:t>
            </w:r>
          </w:p>
        </w:tc>
      </w:tr>
      <w:tr>
        <w:tblPrEx>
          <w:shd w:val="clear" w:color="auto" w:fill="cdd4e9"/>
        </w:tblPrEx>
        <w:trPr>
          <w:trHeight w:val="6206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Meeting with group Mentor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Team Dynamics and Workload Management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We are being proactive so far but Matthew warned against complacency, concerns were directed to the number of absentees however we explained most were expected. We then discussed how it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important to use everyones strengths effectively and then support people where it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needed.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>Class Diagram Plan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Matthew looked over the plan for our class structure, seemed positive but he hadn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t had a chance to read the spec for himself so couldn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t fully picture the requirements. Pointed out that different aspects of the implementation will require different skills sets and also that issues or ideas we haven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t thought of now will arise down the road so be flexible to adaptations or changes.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Highlighted that although this planning stage is mainly for coursework, it will help enormously down the road with implementation later.</w:t>
            </w:r>
          </w:p>
          <w:p>
            <w:pPr>
              <w:pStyle w:val="List Paragraph"/>
              <w:bidi w:val="0"/>
              <w:ind w:left="0" w:right="0" w:firstLine="0"/>
              <w:jc w:val="left"/>
              <w:rPr>
                <w:rtl w:val="0"/>
              </w:rPr>
            </w:pP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Matthew is available at the same time each week and highlighted that he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there for us not just as a group but also individually if needs be.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List of progress:</w:t>
            </w:r>
          </w:p>
        </w:tc>
      </w:tr>
      <w:tr>
        <w:tblPrEx>
          <w:shd w:val="clear" w:color="auto" w:fill="cdd4e9"/>
        </w:tblPrEx>
        <w:trPr>
          <w:trHeight w:val="658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Meeting with Academic Mentor took place successfully with good feedback going forwards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To Do List:</w:t>
            </w:r>
          </w:p>
        </w:tc>
      </w:tr>
      <w:tr>
        <w:tblPrEx>
          <w:shd w:val="clear" w:color="auto" w:fill="cdd4e9"/>
        </w:tblPrEx>
        <w:trPr>
          <w:trHeight w:val="1095" w:hRule="atLeast"/>
        </w:trPr>
        <w:tc>
          <w:tcPr>
            <w:tcW w:type="dxa" w:w="900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Actions carried forwards from previous minutes: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Complete CRC and Class Diagrams for Friday 21st Oct.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Fonts w:ascii="Segoe UI" w:cs="Segoe UI" w:hAnsi="Segoe UI" w:eastAsia="Segoe UI"/>
          <w:caps w:val="0"/>
          <w:smallCaps w:val="0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