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b w:val="1"/>
          <w:bCs w:val="1"/>
          <w:rtl w:val="0"/>
        </w:rPr>
        <w:t xml:space="preserve">Product Vision: </w:t>
      </w:r>
      <w:r w:rsidDel="00000000" w:rsidR="00000000" w:rsidRPr="00000000">
        <w:rPr>
          <w:rFonts w:ascii="Calibri" w:cs="Calibri" w:eastAsia="Calibri" w:hAnsi="Calibri"/>
          <w:rtl w:val="0"/>
        </w:rPr>
        <w:t xml:space="preserve">Sistema EmotionLab</w:t>
      </w:r>
    </w:p>
    <w:p w:rsidR="00000000" w:rsidDel="00000000" w:rsidP="00000000" w:rsidRDefault="00000000" w:rsidRPr="00000000" w14:paraId="00000004">
      <w:pPr>
        <w:rPr>
          <w:rFonts w:ascii="Calibri" w:cs="Calibri" w:eastAsia="Calibri" w:hAnsi="Calibri"/>
          <w:b w:val="1"/>
          <w:bCs w:val="1"/>
          <w:color w:val="0b539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color w:val="0b5394"/>
        </w:rPr>
      </w:pPr>
      <w:r w:rsidDel="00000000" w:rsidR="00000000" w:rsidRPr="00000000">
        <w:rPr>
          <w:rFonts w:ascii="Calibri" w:cs="Calibri" w:eastAsia="Calibri" w:hAnsi="Calibri"/>
          <w:b w:val="1"/>
          <w:bCs w:val="1"/>
          <w:color w:val="0b5394"/>
          <w:rtl w:val="0"/>
        </w:rPr>
        <w:t xml:space="preserve">Introducción</w:t>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continuación, se presenta la Visión del Producto (Product </w:t>
      </w:r>
      <w:r w:rsidDel="00000000" w:rsidR="00000000" w:rsidRPr="00000000">
        <w:rPr>
          <w:rFonts w:ascii="Calibri" w:cs="Calibri" w:eastAsia="Calibri" w:hAnsi="Calibri"/>
          <w:sz w:val="20"/>
          <w:szCs w:val="20"/>
          <w:rtl w:val="0"/>
        </w:rPr>
        <w:t xml:space="preserve">Vision</w:t>
      </w:r>
      <w:r w:rsidDel="00000000" w:rsidR="00000000" w:rsidRPr="00000000">
        <w:rPr>
          <w:rFonts w:ascii="Calibri" w:cs="Calibri" w:eastAsia="Calibri" w:hAnsi="Calibri"/>
          <w:sz w:val="20"/>
          <w:szCs w:val="20"/>
          <w:rtl w:val="0"/>
        </w:rPr>
        <w:t xml:space="preserve">) para el sistema </w:t>
      </w:r>
      <w:r w:rsidDel="00000000" w:rsidR="00000000" w:rsidRPr="00000000">
        <w:rPr>
          <w:rFonts w:ascii="Calibri" w:cs="Calibri" w:eastAsia="Calibri" w:hAnsi="Calibri"/>
          <w:b w:val="1"/>
          <w:bCs w:val="1"/>
          <w:i w:val="1"/>
          <w:iCs w:val="1"/>
          <w:sz w:val="20"/>
          <w:szCs w:val="20"/>
          <w:rtl w:val="0"/>
        </w:rPr>
        <w:t xml:space="preserve">EmotionLab</w:t>
      </w:r>
      <w:r w:rsidDel="00000000" w:rsidR="00000000" w:rsidRPr="00000000">
        <w:rPr>
          <w:rFonts w:ascii="Calibri" w:cs="Calibri" w:eastAsia="Calibri" w:hAnsi="Calibri"/>
          <w:sz w:val="20"/>
          <w:szCs w:val="20"/>
          <w:rtl w:val="0"/>
        </w:rPr>
        <w:t xml:space="preserve">, donde e</w:t>
      </w:r>
      <w:r w:rsidDel="00000000" w:rsidR="00000000" w:rsidRPr="00000000">
        <w:rPr>
          <w:rFonts w:ascii="Calibri" w:cs="Calibri" w:eastAsia="Calibri" w:hAnsi="Calibri"/>
          <w:sz w:val="20"/>
          <w:szCs w:val="20"/>
          <w:rtl w:val="0"/>
        </w:rPr>
        <w:t xml:space="preserve">n los siguientes párrafos se detalla el problema central que buscamos resolver en el entorno escolar y quiénes serán los usuarios directos de nuestra plataforma. Asimismo, se definirá nuestra propuesta de solución tecnológica, el valor real que entregará a los establecimientos educacionales y las funcionalidades exactas que conformarán nuestro Producto Mínimo Viable (MVP) para esta entrega final.</w:t>
      </w:r>
    </w:p>
    <w:p w:rsidR="00000000" w:rsidDel="00000000" w:rsidP="00000000" w:rsidRDefault="00000000" w:rsidRPr="00000000" w14:paraId="0000000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color w:val="0b5394"/>
        </w:rPr>
      </w:pPr>
      <w:r w:rsidDel="00000000" w:rsidR="00000000" w:rsidRPr="00000000">
        <w:rPr>
          <w:rFonts w:ascii="Calibri" w:cs="Calibri" w:eastAsia="Calibri" w:hAnsi="Calibri"/>
          <w:b w:val="1"/>
          <w:bCs w:val="1"/>
          <w:color w:val="0b5394"/>
          <w:rtl w:val="0"/>
        </w:rPr>
        <w:t xml:space="preserve">Visión del Producto (Product Vision)</w:t>
      </w:r>
    </w:p>
    <w:p w:rsidR="00000000" w:rsidDel="00000000" w:rsidP="00000000" w:rsidRDefault="00000000" w:rsidRPr="00000000" w14:paraId="0000000B">
      <w:pPr>
        <w:rPr>
          <w:rFonts w:ascii="Calibri" w:cs="Calibri" w:eastAsia="Calibri" w:hAnsi="Calibri"/>
          <w:b w:val="1"/>
          <w:bCs w:val="1"/>
          <w:color w:val="0b5394"/>
        </w:rPr>
      </w:pPr>
      <w:r w:rsidDel="00000000" w:rsidR="00000000" w:rsidRPr="00000000">
        <w:rPr>
          <w:rtl w:val="0"/>
        </w:rPr>
      </w:r>
    </w:p>
    <w:p w:rsidR="00000000" w:rsidDel="00000000" w:rsidP="00000000" w:rsidRDefault="00000000" w:rsidRPr="00000000" w14:paraId="0000000C">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problema principal que buscamos resolver es la falta de herramientas tecnológicas y métricas objetivas para analizar y predecir las reacciones de estrés de los estudiantes durante sus presentaciones orales escolares.</w:t>
      </w:r>
    </w:p>
    <w:p w:rsidR="00000000" w:rsidDel="00000000" w:rsidP="00000000" w:rsidRDefault="00000000" w:rsidRPr="00000000" w14:paraId="0000000D">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abordar la necesidad de nuestros usuarios —los profesores que visualizarán las métricas y los directores que administrarán la plataforma—, proponemos un sistema ejecutable de escritorio apoyado en un modelo predictivo de Inteligencia Artificial (IA) donde nuestra propuesta de valor consiste en transformar estas predicciones complejas en gráficos y reportes visuales accionables para la toma de decisiones pedagógicas, resguardando estrictamente la privacidad de los menores mediante un manejo robusto de seguridad. Lo que queremos lograr como resultado para nuestro Producto Mínimo Viable (MVP) es un software instalable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exe</w:t>
      </w:r>
      <w:r w:rsidDel="00000000" w:rsidR="00000000" w:rsidRPr="00000000">
        <w:rPr>
          <w:rFonts w:ascii="Calibri" w:cs="Calibri" w:eastAsia="Calibri" w:hAnsi="Calibri"/>
          <w:sz w:val="20"/>
          <w:szCs w:val="20"/>
          <w:rtl w:val="0"/>
        </w:rPr>
        <w:t xml:space="preserve">) conectado a la nube de AWS, el cual contará con un inicio de sesión protegido, gestión de perfiles entre usuarios, funciones dependiendo del rol (como control de auditoría, vista de sesiones, solicitudes de descarga de PDFs educativas de sesiones, entre otros), y contraseñas robustas obligatorias.</w:t>
      </w:r>
    </w:p>
    <w:p w:rsidR="00000000" w:rsidDel="00000000" w:rsidP="00000000" w:rsidRDefault="00000000" w:rsidRPr="00000000" w14:paraId="0000000E">
      <w:pPr>
        <w:spacing w:after="240" w:before="240" w:lineRule="auto"/>
        <w:rPr>
          <w:rFonts w:ascii="Calibri" w:cs="Calibri" w:eastAsia="Calibri" w:hAnsi="Calibri"/>
          <w:b w:val="1"/>
          <w:bCs w:val="1"/>
          <w:color w:val="0b5394"/>
        </w:rPr>
      </w:pPr>
      <w:r w:rsidDel="00000000" w:rsidR="00000000" w:rsidRPr="00000000">
        <w:rPr>
          <w:rFonts w:ascii="Calibri" w:cs="Calibri" w:eastAsia="Calibri" w:hAnsi="Calibri"/>
          <w:b w:val="1"/>
          <w:bCs w:val="1"/>
          <w:sz w:val="20"/>
          <w:szCs w:val="20"/>
          <w:rtl w:val="0"/>
        </w:rPr>
        <w:t xml:space="preserve">Declaración de visión:</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680"/>
        <w:tblGridChange w:id="0">
          <w:tblGrid>
            <w:gridCol w:w="1320"/>
            <w:gridCol w:w="768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profesores y directivos de establecimientos educacionales</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 necesita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evaluar de forma objetiva y tecnológica el nivel de estrés de los estudiantes durante sus presentaciones orales</w:t>
            </w:r>
          </w:p>
        </w:tc>
      </w:tr>
      <w:tr>
        <w:trPr>
          <w:cantSplit w:val="0"/>
          <w:trHeight w:val="713.28125" w:hRule="atLeast"/>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Nuestro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un sistema ejecutable de escritorio apoyado en Inteligencia Artificial (IA)</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analizar, clasificar y visualizar métricas de desempeño y estrés de forma estructurada y segura</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diferencia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evaluaciones tradicionales basadas únicamente en la percepción subjetiva del docente frente a la clase</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distingue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 una herramienta integral empaquetada que traduce datos complejos en información útil, protegiendo estrictamente la privacidad de los alumnos</w:t>
            </w:r>
          </w:p>
        </w:tc>
      </w:tr>
    </w:tbl>
    <w:p w:rsidR="00000000" w:rsidDel="00000000" w:rsidP="00000000" w:rsidRDefault="00000000" w:rsidRPr="00000000" w14:paraId="0000001B">
      <w:pPr>
        <w:rPr>
          <w:rFonts w:ascii="Calibri" w:cs="Calibri" w:eastAsia="Calibri" w:hAnsi="Calibri"/>
          <w:b w:val="1"/>
          <w:bCs w:val="1"/>
          <w:color w:val="0b539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drawing>
        <wp:inline distB="114300" distT="114300" distL="114300" distR="114300">
          <wp:extent cx="2605088" cy="64045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05088" cy="6404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