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046078" w14:textId="1D943385" w:rsidR="00A21E9E" w:rsidRDefault="003965B6" w:rsidP="00CB52FB">
      <w:pPr>
        <w:pStyle w:val="Title"/>
      </w:pPr>
      <w:r>
        <w:t xml:space="preserve">Proposed Updates: </w:t>
      </w:r>
      <w:r w:rsidR="00F232FB">
        <w:t xml:space="preserve">2022 </w:t>
      </w:r>
      <w:r w:rsidR="00FD0928">
        <w:t xml:space="preserve">Aquifer Risk Map </w:t>
      </w:r>
      <w:r w:rsidR="003E2572">
        <w:t xml:space="preserve"> </w:t>
      </w:r>
    </w:p>
    <w:p w14:paraId="33055047" w14:textId="12720A63" w:rsidR="00B73FDE" w:rsidRDefault="001E5F22">
      <w:r>
        <w:t xml:space="preserve">The Aquifer Risk Map estimates water quality risk </w:t>
      </w:r>
      <w:r w:rsidR="00B73FDE">
        <w:t>of</w:t>
      </w:r>
      <w:r>
        <w:t xml:space="preserve"> domestic wells and state small water systems, which are not regulated or routinely sampled by the state. The map</w:t>
      </w:r>
      <w:r w:rsidR="00B73FDE">
        <w:t xml:space="preserve"> estimates the risk to these unregulated systems by</w:t>
      </w:r>
      <w:r>
        <w:t xml:space="preserve"> </w:t>
      </w:r>
      <w:r w:rsidR="00B73FDE">
        <w:t>averaging</w:t>
      </w:r>
      <w:r>
        <w:t xml:space="preserve"> existing</w:t>
      </w:r>
      <w:r w:rsidR="00B73FDE">
        <w:t xml:space="preserve">, depth-filtered </w:t>
      </w:r>
      <w:r>
        <w:t>water quality data from the last 20 years</w:t>
      </w:r>
      <w:r w:rsidR="00B73FDE">
        <w:t xml:space="preserve"> to identify areas where raw source groundwater may be above the maximum contaminant level</w:t>
      </w:r>
      <w:r>
        <w:t xml:space="preserve">. The 2020 version of the Aquifer Risk Map is </w:t>
      </w:r>
      <w:hyperlink r:id="rId6" w:history="1">
        <w:r w:rsidRPr="001E5F22">
          <w:rPr>
            <w:rStyle w:val="Hyperlink"/>
          </w:rPr>
          <w:t>available online</w:t>
        </w:r>
      </w:hyperlink>
      <w:r>
        <w:t xml:space="preserve">, and will be updated with new data </w:t>
      </w:r>
      <w:r w:rsidR="00687CE5">
        <w:t xml:space="preserve">annually </w:t>
      </w:r>
      <w:r>
        <w:t>(January).</w:t>
      </w:r>
    </w:p>
    <w:p w14:paraId="609E9B3D" w14:textId="2FF51E5E" w:rsidR="00FA5CB0" w:rsidRPr="00D34B4F" w:rsidRDefault="00FA5CB0" w:rsidP="00FA5CB0">
      <w:pPr>
        <w:pStyle w:val="Heading1"/>
      </w:pPr>
      <w:r>
        <w:t>Proposed Updates</w:t>
      </w:r>
    </w:p>
    <w:p w14:paraId="4371CE86" w14:textId="0117379F" w:rsidR="00246CA9" w:rsidRDefault="00246CA9" w:rsidP="00246CA9">
      <w:pPr>
        <w:pStyle w:val="ListParagraph"/>
        <w:numPr>
          <w:ilvl w:val="0"/>
          <w:numId w:val="1"/>
        </w:numPr>
      </w:pPr>
      <w:r w:rsidRPr="001D2D29">
        <w:rPr>
          <w:b/>
          <w:bCs/>
        </w:rPr>
        <w:t>Re</w:t>
      </w:r>
      <w:r w:rsidR="001D2D29">
        <w:rPr>
          <w:b/>
          <w:bCs/>
        </w:rPr>
        <w:t>-</w:t>
      </w:r>
      <w:r w:rsidRPr="001D2D29">
        <w:rPr>
          <w:b/>
          <w:bCs/>
        </w:rPr>
        <w:t>focus Aquifer Risk Map to section level data instead of census block group risk percentile scores</w:t>
      </w:r>
      <w:r w:rsidRPr="00D34B4F">
        <w:t>.</w:t>
      </w:r>
      <w:r>
        <w:t xml:space="preserve"> </w:t>
      </w:r>
      <w:r w:rsidR="00854EF5">
        <w:t>We understand that s</w:t>
      </w:r>
      <w:r w:rsidRPr="00D34B4F">
        <w:t xml:space="preserve">ection-level data summaries </w:t>
      </w:r>
      <w:r w:rsidR="00854EF5">
        <w:t>provided the most useful data</w:t>
      </w:r>
      <w:r w:rsidRPr="00D34B4F">
        <w:t xml:space="preserve"> in 2020</w:t>
      </w:r>
      <w:r w:rsidR="003A6FD7">
        <w:t xml:space="preserve"> and is the primary level for which we have domestic well record counts.</w:t>
      </w:r>
      <w:r w:rsidR="00C2511F">
        <w:t xml:space="preserve"> </w:t>
      </w:r>
      <w:r w:rsidR="003A6FD7">
        <w:t>T</w:t>
      </w:r>
      <w:r w:rsidR="00C2511F">
        <w:t xml:space="preserve">he census block group percentile calculation methodology </w:t>
      </w:r>
      <w:r w:rsidR="003A6FD7">
        <w:t>had issues with correcting for small, urban census block group areas</w:t>
      </w:r>
      <w:r w:rsidRPr="00D34B4F">
        <w:t xml:space="preserve">. </w:t>
      </w:r>
      <w:r w:rsidR="004E0146">
        <w:t>A</w:t>
      </w:r>
      <w:r w:rsidR="003A6FD7">
        <w:t xml:space="preserve"> reason</w:t>
      </w:r>
      <w:r w:rsidRPr="00D34B4F">
        <w:t xml:space="preserve"> for using census block groups was to combine with </w:t>
      </w:r>
      <w:r w:rsidR="00557DC8">
        <w:t>drought risk</w:t>
      </w:r>
      <w:r w:rsidRPr="00D34B4F">
        <w:t xml:space="preserve"> data but th</w:t>
      </w:r>
      <w:r w:rsidR="004E0146">
        <w:t>ese</w:t>
      </w:r>
      <w:r w:rsidR="00557DC8">
        <w:t xml:space="preserve"> </w:t>
      </w:r>
      <w:r w:rsidRPr="00D34B4F">
        <w:t xml:space="preserve">data </w:t>
      </w:r>
      <w:r w:rsidR="00C2511F">
        <w:t>can be converted to the section level for incorporation in the Aquifer Risk Map (see proposed update #</w:t>
      </w:r>
      <w:r w:rsidR="006A050A">
        <w:t>3</w:t>
      </w:r>
      <w:r w:rsidR="00C2511F">
        <w:t>)</w:t>
      </w:r>
      <w:r w:rsidRPr="00D34B4F">
        <w:t>.</w:t>
      </w:r>
      <w:r w:rsidR="00C2511F">
        <w:t xml:space="preserve"> Instead, </w:t>
      </w:r>
      <w:r w:rsidR="00854EF5">
        <w:t xml:space="preserve">we recommend that </w:t>
      </w:r>
      <w:r w:rsidR="00C2511F">
        <w:t xml:space="preserve">the </w:t>
      </w:r>
      <w:r w:rsidR="0089349F">
        <w:t xml:space="preserve">updated </w:t>
      </w:r>
      <w:r w:rsidR="00C2511F">
        <w:t>Aquifer Risk Map should</w:t>
      </w:r>
      <w:r w:rsidR="00854EF5">
        <w:t xml:space="preserve"> display</w:t>
      </w:r>
      <w:r w:rsidR="00C2511F">
        <w:t xml:space="preserve"> section level water quality, with a census block group outline overlay that indicates DAC/SDAC census block groups.</w:t>
      </w:r>
    </w:p>
    <w:p w14:paraId="38569CB2" w14:textId="4597F183" w:rsidR="00D32963" w:rsidRDefault="006F502F" w:rsidP="006F502F">
      <w:pPr>
        <w:pStyle w:val="ListParagraph"/>
      </w:pPr>
      <w:r>
        <w:rPr>
          <w:b/>
          <w:bCs/>
          <w:noProof/>
        </w:rPr>
        <w:drawing>
          <wp:inline distT="0" distB="0" distL="0" distR="0" wp14:anchorId="4B763645" wp14:editId="7119110B">
            <wp:extent cx="5934075" cy="4581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4581525"/>
                    </a:xfrm>
                    <a:prstGeom prst="rect">
                      <a:avLst/>
                    </a:prstGeom>
                    <a:noFill/>
                    <a:ln>
                      <a:noFill/>
                    </a:ln>
                  </pic:spPr>
                </pic:pic>
              </a:graphicData>
            </a:graphic>
          </wp:inline>
        </w:drawing>
      </w:r>
    </w:p>
    <w:p w14:paraId="54D67886" w14:textId="1B504922" w:rsidR="00FF565E" w:rsidRDefault="007750A4" w:rsidP="00246CA9">
      <w:pPr>
        <w:pStyle w:val="ListParagraph"/>
        <w:numPr>
          <w:ilvl w:val="0"/>
          <w:numId w:val="1"/>
        </w:numPr>
      </w:pPr>
      <w:r w:rsidRPr="001D2D29">
        <w:rPr>
          <w:b/>
          <w:bCs/>
        </w:rPr>
        <w:lastRenderedPageBreak/>
        <w:t xml:space="preserve">Change definition of “recent” results </w:t>
      </w:r>
      <w:r w:rsidR="00F5464C" w:rsidRPr="001D2D29">
        <w:rPr>
          <w:b/>
          <w:bCs/>
        </w:rPr>
        <w:t xml:space="preserve">from 2 </w:t>
      </w:r>
      <w:r w:rsidRPr="001D2D29">
        <w:rPr>
          <w:b/>
          <w:bCs/>
        </w:rPr>
        <w:t>to 5 years</w:t>
      </w:r>
      <w:r w:rsidR="00D34B4F" w:rsidRPr="001D2D29">
        <w:rPr>
          <w:b/>
          <w:bCs/>
        </w:rPr>
        <w:t>.</w:t>
      </w:r>
      <w:r w:rsidR="00FF565E" w:rsidRPr="001D2D29">
        <w:rPr>
          <w:b/>
          <w:bCs/>
        </w:rPr>
        <w:t xml:space="preserve"> </w:t>
      </w:r>
      <w:r w:rsidR="0032356C" w:rsidRPr="001D2D29">
        <w:t>Many</w:t>
      </w:r>
      <w:r w:rsidR="00FF565E" w:rsidRPr="001D2D29">
        <w:t xml:space="preserve"> data sources are not sampled </w:t>
      </w:r>
      <w:r w:rsidR="00F5464C" w:rsidRPr="001D2D29">
        <w:t xml:space="preserve">annually </w:t>
      </w:r>
      <w:r w:rsidR="0032356C" w:rsidRPr="001D2D29">
        <w:t>(and DDW compliance cycle is 3 years)</w:t>
      </w:r>
      <w:r w:rsidR="00FF565E" w:rsidRPr="001D2D29">
        <w:t xml:space="preserve">, </w:t>
      </w:r>
      <w:r w:rsidR="0032356C" w:rsidRPr="001D2D29">
        <w:t xml:space="preserve">so </w:t>
      </w:r>
      <w:r w:rsidR="00F5464C" w:rsidRPr="001D2D29">
        <w:t>this</w:t>
      </w:r>
      <w:r w:rsidR="00F5464C">
        <w:t xml:space="preserve"> adjustment</w:t>
      </w:r>
      <w:r w:rsidR="00FF565E">
        <w:t xml:space="preserve"> allows more high-risk data points to be included.</w:t>
      </w:r>
      <w:r w:rsidR="00246CA9">
        <w:t xml:space="preserve"> This update increases the number of “high” risk domestic wells and state small water systems.</w:t>
      </w:r>
      <w:r w:rsidR="00261BF5">
        <w:t xml:space="preserve"> </w:t>
      </w:r>
      <w:r w:rsidR="00246CA9">
        <w:t>Comparison with ILRP nitrate data indicated that this update improved Aquifer Risk Map accuracy.</w:t>
      </w:r>
    </w:p>
    <w:p w14:paraId="3B071BBE" w14:textId="0C4F53F3" w:rsidR="00304FB4" w:rsidRDefault="00FA5CB0" w:rsidP="00246CA9">
      <w:pPr>
        <w:pStyle w:val="ListParagraph"/>
        <w:numPr>
          <w:ilvl w:val="0"/>
          <w:numId w:val="1"/>
        </w:numPr>
      </w:pPr>
      <w:r w:rsidRPr="001D2D29">
        <w:rPr>
          <w:b/>
          <w:bCs/>
        </w:rPr>
        <w:t>Incorporate water quality data from</w:t>
      </w:r>
      <w:r w:rsidR="00FD0928" w:rsidRPr="001D2D29">
        <w:rPr>
          <w:b/>
          <w:bCs/>
        </w:rPr>
        <w:t xml:space="preserve"> </w:t>
      </w:r>
      <w:r w:rsidR="00F5464C" w:rsidRPr="001D2D29">
        <w:rPr>
          <w:b/>
          <w:bCs/>
        </w:rPr>
        <w:t>GeoTracker</w:t>
      </w:r>
      <w:r w:rsidR="00FD0928" w:rsidRPr="001D2D29">
        <w:rPr>
          <w:b/>
          <w:bCs/>
        </w:rPr>
        <w:t xml:space="preserve"> data</w:t>
      </w:r>
      <w:r w:rsidR="00FD0928">
        <w:t xml:space="preserve"> (</w:t>
      </w:r>
      <w:r w:rsidR="007750A4">
        <w:t xml:space="preserve">also </w:t>
      </w:r>
      <w:r w:rsidR="00FD0928">
        <w:t xml:space="preserve">see proposed </w:t>
      </w:r>
      <w:r>
        <w:t>update</w:t>
      </w:r>
      <w:r w:rsidR="00FD0928">
        <w:t xml:space="preserve"> #</w:t>
      </w:r>
      <w:r w:rsidR="00246CA9">
        <w:t>1</w:t>
      </w:r>
      <w:r w:rsidR="00FD0928">
        <w:t>)</w:t>
      </w:r>
      <w:r w:rsidR="007750A4">
        <w:t xml:space="preserve">. </w:t>
      </w:r>
      <w:r w:rsidR="00077239">
        <w:t>Including groundwater quality data from cleanup sites (</w:t>
      </w:r>
      <w:proofErr w:type="spellStart"/>
      <w:r w:rsidR="00077239">
        <w:t>GeoTracker</w:t>
      </w:r>
      <w:proofErr w:type="spellEnd"/>
      <w:r w:rsidR="00077239">
        <w:t xml:space="preserve"> data) results in expanded map coverage</w:t>
      </w:r>
      <w:r w:rsidR="0089349F">
        <w:t xml:space="preserve">. </w:t>
      </w:r>
      <w:proofErr w:type="spellStart"/>
      <w:r w:rsidR="00F5464C" w:rsidRPr="00FF565E">
        <w:t>GeoTracker</w:t>
      </w:r>
      <w:proofErr w:type="spellEnd"/>
      <w:r w:rsidR="00FF565E" w:rsidRPr="00FF565E">
        <w:t xml:space="preserve"> data would only be included in the map if the monitoring well is at least 100 feet deep and if the well meets the domestic depth filtering criteria</w:t>
      </w:r>
      <w:r w:rsidR="00854EF5">
        <w:t xml:space="preserve"> in order to screen out very shallow groundwater data that may not be representative of domestic well depths</w:t>
      </w:r>
      <w:r w:rsidR="00FF565E" w:rsidRPr="00FF565E">
        <w:t>.</w:t>
      </w:r>
      <w:r w:rsidR="00077239">
        <w:t xml:space="preserve"> However, due to risk percentile calculation methodology for census block groups</w:t>
      </w:r>
      <w:r w:rsidR="00CE1169">
        <w:t xml:space="preserve"> in the 2020 Aquifer Risk Map</w:t>
      </w:r>
      <w:r w:rsidR="00077239">
        <w:t xml:space="preserve">, use of the GeoTracker data results in a </w:t>
      </w:r>
      <w:r w:rsidR="003A6FD7">
        <w:t>disproportiona</w:t>
      </w:r>
      <w:r w:rsidR="00077239">
        <w:t>te</w:t>
      </w:r>
      <w:r w:rsidR="003A6FD7">
        <w:t xml:space="preserve"> increase </w:t>
      </w:r>
      <w:r w:rsidR="00077239">
        <w:t xml:space="preserve">in </w:t>
      </w:r>
      <w:r w:rsidR="003A6FD7">
        <w:t>the risk</w:t>
      </w:r>
      <w:r w:rsidR="00077239">
        <w:t xml:space="preserve"> score for</w:t>
      </w:r>
      <w:r w:rsidR="003A6FD7">
        <w:t xml:space="preserve"> of small, urban census block groups</w:t>
      </w:r>
      <w:r w:rsidR="00077239">
        <w:t xml:space="preserve">. Re-focusing of the data to the Section level (recommendation #1) addresses this problem. </w:t>
      </w:r>
      <w:r w:rsidR="00246CA9">
        <w:t>This update increases the number of “high” risk domestic wells and state small water systems.</w:t>
      </w:r>
      <w:r>
        <w:t xml:space="preserve"> </w:t>
      </w:r>
      <w:r w:rsidR="00F5464C">
        <w:t>Fifty percent</w:t>
      </w:r>
      <w:r w:rsidR="00FF565E">
        <w:t xml:space="preserve"> of this increase</w:t>
      </w:r>
      <w:r>
        <w:t xml:space="preserve"> occur</w:t>
      </w:r>
      <w:r w:rsidR="00246CA9">
        <w:t>s</w:t>
      </w:r>
      <w:r w:rsidR="007750A4">
        <w:t xml:space="preserve"> in Riverside, Santa Clara, Calaveras, </w:t>
      </w:r>
      <w:r w:rsidR="007750A4" w:rsidRPr="003703E2">
        <w:t>Mendocino, S</w:t>
      </w:r>
      <w:r w:rsidR="00FF565E" w:rsidRPr="003703E2">
        <w:t>an Bernardino, Sonoma, and Merced counties.</w:t>
      </w:r>
      <w:r>
        <w:t xml:space="preserve"> This update </w:t>
      </w:r>
      <w:r w:rsidR="00246CA9">
        <w:t>could not</w:t>
      </w:r>
      <w:r>
        <w:t xml:space="preserve"> be compared with ILRP nitrate data, as there </w:t>
      </w:r>
      <w:r w:rsidR="00246CA9">
        <w:t>was no GeoTracker nitrate data available for the areas with sampled domestic wells.</w:t>
      </w:r>
    </w:p>
    <w:p w14:paraId="5CEFF242" w14:textId="5CE4380A" w:rsidR="0032356C" w:rsidRDefault="0032356C" w:rsidP="0032356C">
      <w:pPr>
        <w:pStyle w:val="Caption"/>
        <w:keepNext/>
      </w:pPr>
      <w:r>
        <w:t xml:space="preserve">Table </w:t>
      </w:r>
      <w:fldSimple w:instr=" SEQ Table \* ARABIC ">
        <w:r w:rsidR="003E2572">
          <w:rPr>
            <w:noProof/>
          </w:rPr>
          <w:t>1</w:t>
        </w:r>
      </w:fldSimple>
      <w:r>
        <w:t xml:space="preserve">. Domestic Well </w:t>
      </w:r>
      <w:r w:rsidR="001E4636">
        <w:t>Water Quality Risk Counts</w:t>
      </w:r>
      <w:r>
        <w:t xml:space="preserve"> – proposed Aquifer Risk Map </w:t>
      </w:r>
      <w:r w:rsidR="00242893">
        <w:t>updates</w:t>
      </w:r>
    </w:p>
    <w:tbl>
      <w:tblPr>
        <w:tblStyle w:val="TableGrid"/>
        <w:tblW w:w="0" w:type="auto"/>
        <w:jc w:val="center"/>
        <w:tblLook w:val="04A0" w:firstRow="1" w:lastRow="0" w:firstColumn="1" w:lastColumn="0" w:noHBand="0" w:noVBand="1"/>
      </w:tblPr>
      <w:tblGrid>
        <w:gridCol w:w="1615"/>
        <w:gridCol w:w="1170"/>
        <w:gridCol w:w="1260"/>
        <w:gridCol w:w="1170"/>
        <w:gridCol w:w="1287"/>
        <w:gridCol w:w="1204"/>
      </w:tblGrid>
      <w:tr w:rsidR="00984E33" w:rsidRPr="00984E33" w14:paraId="1F8842C2" w14:textId="77777777" w:rsidTr="00984E33">
        <w:trPr>
          <w:trHeight w:val="291"/>
          <w:jc w:val="center"/>
        </w:trPr>
        <w:tc>
          <w:tcPr>
            <w:tcW w:w="1615" w:type="dxa"/>
            <w:noWrap/>
            <w:hideMark/>
          </w:tcPr>
          <w:p w14:paraId="27276011" w14:textId="3CD37FE6" w:rsidR="00984E33" w:rsidRPr="00984E33" w:rsidRDefault="00984E33">
            <w:r>
              <w:t>Water Quality Risk</w:t>
            </w:r>
          </w:p>
        </w:tc>
        <w:tc>
          <w:tcPr>
            <w:tcW w:w="1170" w:type="dxa"/>
            <w:noWrap/>
            <w:hideMark/>
          </w:tcPr>
          <w:p w14:paraId="2C9D25F2" w14:textId="77777777" w:rsidR="00984E33" w:rsidRPr="00984E33" w:rsidRDefault="00984E33">
            <w:r w:rsidRPr="00984E33">
              <w:t>2021 ARM</w:t>
            </w:r>
          </w:p>
        </w:tc>
        <w:tc>
          <w:tcPr>
            <w:tcW w:w="1260" w:type="dxa"/>
            <w:noWrap/>
            <w:hideMark/>
          </w:tcPr>
          <w:p w14:paraId="23C5907A" w14:textId="77777777" w:rsidR="00984E33" w:rsidRPr="00984E33" w:rsidRDefault="00984E33">
            <w:r w:rsidRPr="00984E33">
              <w:t>2022 ARM (all proposed updates)</w:t>
            </w:r>
          </w:p>
        </w:tc>
        <w:tc>
          <w:tcPr>
            <w:tcW w:w="1170" w:type="dxa"/>
            <w:noWrap/>
            <w:hideMark/>
          </w:tcPr>
          <w:p w14:paraId="6D4470CF" w14:textId="07610FD3" w:rsidR="00984E33" w:rsidRPr="00984E33" w:rsidRDefault="00984E33">
            <w:r w:rsidRPr="00984E33">
              <w:t>2022 ARM (</w:t>
            </w:r>
            <w:r>
              <w:t>new data only</w:t>
            </w:r>
            <w:r w:rsidRPr="00984E33">
              <w:t>)</w:t>
            </w:r>
          </w:p>
        </w:tc>
        <w:tc>
          <w:tcPr>
            <w:tcW w:w="1287" w:type="dxa"/>
            <w:noWrap/>
            <w:hideMark/>
          </w:tcPr>
          <w:p w14:paraId="75A8A2E4" w14:textId="77777777" w:rsidR="00984E33" w:rsidRPr="00984E33" w:rsidRDefault="00984E33">
            <w:r w:rsidRPr="00984E33">
              <w:t>2022 ARM (include GT data)</w:t>
            </w:r>
          </w:p>
        </w:tc>
        <w:tc>
          <w:tcPr>
            <w:tcW w:w="1204" w:type="dxa"/>
            <w:noWrap/>
            <w:hideMark/>
          </w:tcPr>
          <w:p w14:paraId="617E0208" w14:textId="77777777" w:rsidR="00984E33" w:rsidRPr="00984E33" w:rsidRDefault="00984E33">
            <w:r w:rsidRPr="00984E33">
              <w:t>2022 ARM ("recent" = 5 years)</w:t>
            </w:r>
          </w:p>
        </w:tc>
      </w:tr>
      <w:tr w:rsidR="00984E33" w:rsidRPr="00984E33" w14:paraId="624F81AF" w14:textId="77777777" w:rsidTr="00984E33">
        <w:trPr>
          <w:trHeight w:val="291"/>
          <w:jc w:val="center"/>
        </w:trPr>
        <w:tc>
          <w:tcPr>
            <w:tcW w:w="1615" w:type="dxa"/>
            <w:noWrap/>
            <w:hideMark/>
          </w:tcPr>
          <w:p w14:paraId="197002BD" w14:textId="77777777" w:rsidR="00984E33" w:rsidRPr="00984E33" w:rsidRDefault="00984E33">
            <w:r w:rsidRPr="00984E33">
              <w:t>High WQ Risk (&gt; MCL)</w:t>
            </w:r>
          </w:p>
        </w:tc>
        <w:tc>
          <w:tcPr>
            <w:tcW w:w="1170" w:type="dxa"/>
            <w:noWrap/>
            <w:hideMark/>
          </w:tcPr>
          <w:p w14:paraId="7925C89A" w14:textId="31639A75" w:rsidR="00984E33" w:rsidRPr="00984E33" w:rsidRDefault="00984E33" w:rsidP="00984E33">
            <w:r w:rsidRPr="00984E33">
              <w:t>77,973</w:t>
            </w:r>
            <w:r>
              <w:t xml:space="preserve"> (24%)</w:t>
            </w:r>
          </w:p>
        </w:tc>
        <w:tc>
          <w:tcPr>
            <w:tcW w:w="1260" w:type="dxa"/>
            <w:noWrap/>
            <w:hideMark/>
          </w:tcPr>
          <w:p w14:paraId="398DA1C6" w14:textId="48ABB138" w:rsidR="00984E33" w:rsidRPr="00984E33" w:rsidRDefault="00984E33" w:rsidP="00984E33">
            <w:r w:rsidRPr="00984E33">
              <w:t>92,635</w:t>
            </w:r>
            <w:r>
              <w:t xml:space="preserve"> (30%)</w:t>
            </w:r>
          </w:p>
        </w:tc>
        <w:tc>
          <w:tcPr>
            <w:tcW w:w="1170" w:type="dxa"/>
            <w:noWrap/>
            <w:hideMark/>
          </w:tcPr>
          <w:p w14:paraId="0983FD14" w14:textId="158F44E6" w:rsidR="00984E33" w:rsidRPr="00984E33" w:rsidRDefault="00984E33" w:rsidP="00984E33">
            <w:r w:rsidRPr="00984E33">
              <w:t>75,918</w:t>
            </w:r>
            <w:r>
              <w:t xml:space="preserve"> (24%)</w:t>
            </w:r>
          </w:p>
        </w:tc>
        <w:tc>
          <w:tcPr>
            <w:tcW w:w="1287" w:type="dxa"/>
            <w:noWrap/>
            <w:hideMark/>
          </w:tcPr>
          <w:p w14:paraId="27909B12" w14:textId="27B765CD" w:rsidR="00984E33" w:rsidRPr="00984E33" w:rsidRDefault="00984E33" w:rsidP="00984E33">
            <w:r w:rsidRPr="00984E33">
              <w:t>79,985</w:t>
            </w:r>
            <w:r>
              <w:t xml:space="preserve"> (26%)</w:t>
            </w:r>
          </w:p>
        </w:tc>
        <w:tc>
          <w:tcPr>
            <w:tcW w:w="1204" w:type="dxa"/>
            <w:noWrap/>
            <w:hideMark/>
          </w:tcPr>
          <w:p w14:paraId="7199BADB" w14:textId="0E857093" w:rsidR="00984E33" w:rsidRPr="00984E33" w:rsidRDefault="00984E33" w:rsidP="00984E33">
            <w:r w:rsidRPr="00984E33">
              <w:t>88,558</w:t>
            </w:r>
            <w:r>
              <w:t xml:space="preserve"> (28%)</w:t>
            </w:r>
          </w:p>
        </w:tc>
      </w:tr>
      <w:tr w:rsidR="00984E33" w:rsidRPr="00984E33" w14:paraId="7B096C27" w14:textId="77777777" w:rsidTr="00984E33">
        <w:trPr>
          <w:trHeight w:val="291"/>
          <w:jc w:val="center"/>
        </w:trPr>
        <w:tc>
          <w:tcPr>
            <w:tcW w:w="1615" w:type="dxa"/>
            <w:noWrap/>
            <w:hideMark/>
          </w:tcPr>
          <w:p w14:paraId="1F2EF2BD" w14:textId="77777777" w:rsidR="00984E33" w:rsidRPr="00984E33" w:rsidRDefault="00984E33">
            <w:r w:rsidRPr="00984E33">
              <w:t>Medium WQ Risk (80%-100% MCL)</w:t>
            </w:r>
          </w:p>
        </w:tc>
        <w:tc>
          <w:tcPr>
            <w:tcW w:w="1170" w:type="dxa"/>
            <w:noWrap/>
            <w:hideMark/>
          </w:tcPr>
          <w:p w14:paraId="6723002B" w14:textId="247E3511" w:rsidR="00984E33" w:rsidRPr="00984E33" w:rsidRDefault="00984E33" w:rsidP="00984E33">
            <w:r w:rsidRPr="00984E33">
              <w:t>15,791</w:t>
            </w:r>
            <w:r>
              <w:t xml:space="preserve"> (5%)</w:t>
            </w:r>
          </w:p>
        </w:tc>
        <w:tc>
          <w:tcPr>
            <w:tcW w:w="1260" w:type="dxa"/>
            <w:noWrap/>
            <w:hideMark/>
          </w:tcPr>
          <w:p w14:paraId="44CA64B6" w14:textId="12C1E6F3" w:rsidR="00984E33" w:rsidRPr="00984E33" w:rsidRDefault="00984E33" w:rsidP="00984E33">
            <w:r w:rsidRPr="00984E33">
              <w:t>17,078</w:t>
            </w:r>
            <w:r>
              <w:t xml:space="preserve"> (5%)</w:t>
            </w:r>
          </w:p>
        </w:tc>
        <w:tc>
          <w:tcPr>
            <w:tcW w:w="1170" w:type="dxa"/>
            <w:noWrap/>
            <w:hideMark/>
          </w:tcPr>
          <w:p w14:paraId="238673F5" w14:textId="6A99FEBA" w:rsidR="00984E33" w:rsidRPr="00984E33" w:rsidRDefault="00984E33" w:rsidP="00984E33">
            <w:r w:rsidRPr="00984E33">
              <w:t>18,310</w:t>
            </w:r>
            <w:r>
              <w:t xml:space="preserve"> (6%)</w:t>
            </w:r>
          </w:p>
        </w:tc>
        <w:tc>
          <w:tcPr>
            <w:tcW w:w="1287" w:type="dxa"/>
            <w:noWrap/>
            <w:hideMark/>
          </w:tcPr>
          <w:p w14:paraId="0DAA0D25" w14:textId="77777777" w:rsidR="00984E33" w:rsidRDefault="00984E33" w:rsidP="00984E33">
            <w:r w:rsidRPr="00984E33">
              <w:t>18,029</w:t>
            </w:r>
            <w:r>
              <w:t xml:space="preserve"> </w:t>
            </w:r>
          </w:p>
          <w:p w14:paraId="781B4FAC" w14:textId="2B8AFA1E" w:rsidR="00984E33" w:rsidRPr="00984E33" w:rsidRDefault="00984E33" w:rsidP="00984E33">
            <w:r>
              <w:t>(6%)</w:t>
            </w:r>
          </w:p>
        </w:tc>
        <w:tc>
          <w:tcPr>
            <w:tcW w:w="1204" w:type="dxa"/>
            <w:noWrap/>
            <w:hideMark/>
          </w:tcPr>
          <w:p w14:paraId="4ACC793D" w14:textId="0C07E7A2" w:rsidR="00984E33" w:rsidRPr="00984E33" w:rsidRDefault="00984E33" w:rsidP="00984E33">
            <w:r w:rsidRPr="00984E33">
              <w:t>17,632</w:t>
            </w:r>
            <w:r>
              <w:t xml:space="preserve"> (6%)</w:t>
            </w:r>
          </w:p>
        </w:tc>
      </w:tr>
      <w:tr w:rsidR="00984E33" w:rsidRPr="00984E33" w14:paraId="1CF97B1F" w14:textId="77777777" w:rsidTr="00984E33">
        <w:trPr>
          <w:trHeight w:val="291"/>
          <w:jc w:val="center"/>
        </w:trPr>
        <w:tc>
          <w:tcPr>
            <w:tcW w:w="1615" w:type="dxa"/>
            <w:noWrap/>
            <w:hideMark/>
          </w:tcPr>
          <w:p w14:paraId="3386FF64" w14:textId="77777777" w:rsidR="00984E33" w:rsidRPr="00984E33" w:rsidRDefault="00984E33">
            <w:r w:rsidRPr="00984E33">
              <w:t>Low WQ Risk (&lt;80% MCL)</w:t>
            </w:r>
          </w:p>
        </w:tc>
        <w:tc>
          <w:tcPr>
            <w:tcW w:w="1170" w:type="dxa"/>
            <w:noWrap/>
            <w:hideMark/>
          </w:tcPr>
          <w:p w14:paraId="5D007678" w14:textId="6519070E" w:rsidR="00984E33" w:rsidRPr="00984E33" w:rsidRDefault="00984E33" w:rsidP="00984E33">
            <w:r w:rsidRPr="00984E33">
              <w:t>147,185</w:t>
            </w:r>
            <w:r>
              <w:t xml:space="preserve"> (43%)</w:t>
            </w:r>
          </w:p>
        </w:tc>
        <w:tc>
          <w:tcPr>
            <w:tcW w:w="1260" w:type="dxa"/>
            <w:noWrap/>
            <w:hideMark/>
          </w:tcPr>
          <w:p w14:paraId="75CDBCF2" w14:textId="2F7B2BF0" w:rsidR="00984E33" w:rsidRPr="00984E33" w:rsidRDefault="00984E33" w:rsidP="00984E33">
            <w:r w:rsidRPr="00984E33">
              <w:t>134,282</w:t>
            </w:r>
            <w:r>
              <w:t xml:space="preserve"> (43%)</w:t>
            </w:r>
          </w:p>
        </w:tc>
        <w:tc>
          <w:tcPr>
            <w:tcW w:w="1170" w:type="dxa"/>
            <w:noWrap/>
            <w:hideMark/>
          </w:tcPr>
          <w:p w14:paraId="70D68A92" w14:textId="3387F312" w:rsidR="00984E33" w:rsidRPr="00984E33" w:rsidRDefault="00984E33" w:rsidP="00984E33">
            <w:r w:rsidRPr="00984E33">
              <w:t>147,924</w:t>
            </w:r>
            <w:r>
              <w:t xml:space="preserve"> (47%)</w:t>
            </w:r>
          </w:p>
        </w:tc>
        <w:tc>
          <w:tcPr>
            <w:tcW w:w="1287" w:type="dxa"/>
            <w:noWrap/>
            <w:hideMark/>
          </w:tcPr>
          <w:p w14:paraId="718EEA36" w14:textId="161DD68E" w:rsidR="00984E33" w:rsidRPr="00984E33" w:rsidRDefault="00984E33" w:rsidP="00984E33">
            <w:r w:rsidRPr="00984E33">
              <w:t>145,981</w:t>
            </w:r>
            <w:r>
              <w:t xml:space="preserve"> (47%)</w:t>
            </w:r>
          </w:p>
        </w:tc>
        <w:tc>
          <w:tcPr>
            <w:tcW w:w="1204" w:type="dxa"/>
            <w:noWrap/>
            <w:hideMark/>
          </w:tcPr>
          <w:p w14:paraId="12BC1E78" w14:textId="1BAC58CB" w:rsidR="00984E33" w:rsidRPr="00984E33" w:rsidRDefault="00984E33" w:rsidP="00984E33">
            <w:r w:rsidRPr="00984E33">
              <w:t>135,962</w:t>
            </w:r>
            <w:r>
              <w:t xml:space="preserve"> (44%)</w:t>
            </w:r>
          </w:p>
        </w:tc>
      </w:tr>
      <w:tr w:rsidR="00984E33" w:rsidRPr="00984E33" w14:paraId="379D5A66" w14:textId="77777777" w:rsidTr="00984E33">
        <w:trPr>
          <w:trHeight w:val="291"/>
          <w:jc w:val="center"/>
        </w:trPr>
        <w:tc>
          <w:tcPr>
            <w:tcW w:w="1615" w:type="dxa"/>
            <w:noWrap/>
            <w:hideMark/>
          </w:tcPr>
          <w:p w14:paraId="29F52782" w14:textId="77777777" w:rsidR="00984E33" w:rsidRPr="00984E33" w:rsidRDefault="00984E33">
            <w:r w:rsidRPr="00984E33">
              <w:t>No WQ data</w:t>
            </w:r>
          </w:p>
        </w:tc>
        <w:tc>
          <w:tcPr>
            <w:tcW w:w="1170" w:type="dxa"/>
            <w:noWrap/>
            <w:hideMark/>
          </w:tcPr>
          <w:p w14:paraId="3CF97880" w14:textId="745432DF" w:rsidR="00984E33" w:rsidRPr="00984E33" w:rsidRDefault="00984E33" w:rsidP="00984E33">
            <w:r w:rsidRPr="00984E33">
              <w:t>84,800</w:t>
            </w:r>
            <w:r>
              <w:t xml:space="preserve"> (26%)</w:t>
            </w:r>
          </w:p>
        </w:tc>
        <w:tc>
          <w:tcPr>
            <w:tcW w:w="1260" w:type="dxa"/>
            <w:noWrap/>
            <w:hideMark/>
          </w:tcPr>
          <w:p w14:paraId="49908AE9" w14:textId="18A10E97" w:rsidR="00984E33" w:rsidRPr="00984E33" w:rsidRDefault="00984E33" w:rsidP="00984E33">
            <w:r w:rsidRPr="00984E33">
              <w:t>68,192</w:t>
            </w:r>
            <w:r>
              <w:t xml:space="preserve"> (22%)</w:t>
            </w:r>
          </w:p>
        </w:tc>
        <w:tc>
          <w:tcPr>
            <w:tcW w:w="1170" w:type="dxa"/>
            <w:noWrap/>
            <w:hideMark/>
          </w:tcPr>
          <w:p w14:paraId="492DE044" w14:textId="528F9EEF" w:rsidR="00984E33" w:rsidRPr="00984E33" w:rsidRDefault="00984E33" w:rsidP="00984E33">
            <w:r w:rsidRPr="00984E33">
              <w:t>70,035</w:t>
            </w:r>
            <w:r>
              <w:t xml:space="preserve"> (22%)</w:t>
            </w:r>
          </w:p>
        </w:tc>
        <w:tc>
          <w:tcPr>
            <w:tcW w:w="1287" w:type="dxa"/>
            <w:noWrap/>
            <w:hideMark/>
          </w:tcPr>
          <w:p w14:paraId="00015F75" w14:textId="09199A7E" w:rsidR="00984E33" w:rsidRPr="00984E33" w:rsidRDefault="00984E33" w:rsidP="00984E33">
            <w:r w:rsidRPr="00984E33">
              <w:t>68,192</w:t>
            </w:r>
            <w:r>
              <w:t xml:space="preserve"> (22%)</w:t>
            </w:r>
          </w:p>
        </w:tc>
        <w:tc>
          <w:tcPr>
            <w:tcW w:w="1204" w:type="dxa"/>
            <w:noWrap/>
            <w:hideMark/>
          </w:tcPr>
          <w:p w14:paraId="4FB7BB4F" w14:textId="141436A6" w:rsidR="00984E33" w:rsidRPr="00984E33" w:rsidRDefault="00984E33" w:rsidP="00984E33">
            <w:r w:rsidRPr="00984E33">
              <w:t>70,035</w:t>
            </w:r>
            <w:r>
              <w:t xml:space="preserve"> (22%)</w:t>
            </w:r>
          </w:p>
        </w:tc>
      </w:tr>
    </w:tbl>
    <w:p w14:paraId="5AC08C01" w14:textId="033CB5DA" w:rsidR="00F232FB" w:rsidRDefault="00F232FB" w:rsidP="00E2394F"/>
    <w:p w14:paraId="469397C9" w14:textId="3A46BF56" w:rsidR="0032356C" w:rsidRDefault="0032356C" w:rsidP="0032356C">
      <w:pPr>
        <w:pStyle w:val="Caption"/>
        <w:keepNext/>
      </w:pPr>
      <w:r>
        <w:t xml:space="preserve">Table </w:t>
      </w:r>
      <w:fldSimple w:instr=" SEQ Table \* ARABIC ">
        <w:r w:rsidR="003E2572">
          <w:rPr>
            <w:noProof/>
          </w:rPr>
          <w:t>2</w:t>
        </w:r>
      </w:fldSimple>
      <w:r>
        <w:t xml:space="preserve">. </w:t>
      </w:r>
      <w:r w:rsidR="001E4636">
        <w:t>S</w:t>
      </w:r>
      <w:r>
        <w:t xml:space="preserve">tate Small Water Systems </w:t>
      </w:r>
      <w:r w:rsidR="001E4636">
        <w:t xml:space="preserve">Water Quality Risk Counts </w:t>
      </w:r>
      <w:r>
        <w:t xml:space="preserve">- proposed Aquifer Risk Map </w:t>
      </w:r>
      <w:r w:rsidR="00242893">
        <w:t>updates</w:t>
      </w:r>
    </w:p>
    <w:tbl>
      <w:tblPr>
        <w:tblStyle w:val="TableGrid"/>
        <w:tblW w:w="0" w:type="auto"/>
        <w:jc w:val="center"/>
        <w:tblLook w:val="04A0" w:firstRow="1" w:lastRow="0" w:firstColumn="1" w:lastColumn="0" w:noHBand="0" w:noVBand="1"/>
      </w:tblPr>
      <w:tblGrid>
        <w:gridCol w:w="1615"/>
        <w:gridCol w:w="1170"/>
        <w:gridCol w:w="1350"/>
        <w:gridCol w:w="1170"/>
        <w:gridCol w:w="1260"/>
        <w:gridCol w:w="1188"/>
      </w:tblGrid>
      <w:tr w:rsidR="006F502F" w:rsidRPr="00F232FB" w14:paraId="65DADD67" w14:textId="77777777" w:rsidTr="006F502F">
        <w:trPr>
          <w:trHeight w:val="325"/>
          <w:jc w:val="center"/>
        </w:trPr>
        <w:tc>
          <w:tcPr>
            <w:tcW w:w="1615" w:type="dxa"/>
          </w:tcPr>
          <w:p w14:paraId="7C073F60" w14:textId="168D0796" w:rsidR="006F502F" w:rsidRDefault="006F502F" w:rsidP="006F502F">
            <w:r>
              <w:t>Water Quality Risk</w:t>
            </w:r>
          </w:p>
        </w:tc>
        <w:tc>
          <w:tcPr>
            <w:tcW w:w="1170" w:type="dxa"/>
            <w:noWrap/>
          </w:tcPr>
          <w:p w14:paraId="7992B42D" w14:textId="7DBB70C8" w:rsidR="006F502F" w:rsidRPr="00F232FB" w:rsidRDefault="006F502F" w:rsidP="006F502F">
            <w:r w:rsidRPr="00F232FB">
              <w:t>2021 ARM</w:t>
            </w:r>
          </w:p>
        </w:tc>
        <w:tc>
          <w:tcPr>
            <w:tcW w:w="1350" w:type="dxa"/>
            <w:noWrap/>
          </w:tcPr>
          <w:p w14:paraId="0C171657" w14:textId="1AE29FCB" w:rsidR="006F502F" w:rsidRPr="00F232FB" w:rsidRDefault="006F502F" w:rsidP="006F502F">
            <w:r w:rsidRPr="00F232FB">
              <w:t>2022 ARM (all proposed updates)</w:t>
            </w:r>
          </w:p>
        </w:tc>
        <w:tc>
          <w:tcPr>
            <w:tcW w:w="1170" w:type="dxa"/>
            <w:noWrap/>
          </w:tcPr>
          <w:p w14:paraId="6CC0C1F9" w14:textId="06ADCC4E" w:rsidR="006F502F" w:rsidRPr="00F232FB" w:rsidRDefault="006F502F" w:rsidP="006F502F">
            <w:r w:rsidRPr="00F232FB">
              <w:t>2022 ARM (new data</w:t>
            </w:r>
            <w:r w:rsidR="00BB5D3E">
              <w:t xml:space="preserve"> only</w:t>
            </w:r>
            <w:r w:rsidRPr="00F232FB">
              <w:t>)</w:t>
            </w:r>
          </w:p>
        </w:tc>
        <w:tc>
          <w:tcPr>
            <w:tcW w:w="1260" w:type="dxa"/>
            <w:noWrap/>
          </w:tcPr>
          <w:p w14:paraId="39DE5A67" w14:textId="71574094" w:rsidR="006F502F" w:rsidRPr="00F232FB" w:rsidRDefault="006F502F" w:rsidP="006F502F">
            <w:r w:rsidRPr="00F232FB">
              <w:t>2022 ARM (include GT data)</w:t>
            </w:r>
          </w:p>
        </w:tc>
        <w:tc>
          <w:tcPr>
            <w:tcW w:w="1188" w:type="dxa"/>
            <w:noWrap/>
          </w:tcPr>
          <w:p w14:paraId="223EFF75" w14:textId="3B555326" w:rsidR="006F502F" w:rsidRPr="00F232FB" w:rsidRDefault="006F502F" w:rsidP="006F502F">
            <w:r w:rsidRPr="00F232FB">
              <w:t>2022 ARM ("recent" = 5 years)</w:t>
            </w:r>
          </w:p>
        </w:tc>
      </w:tr>
      <w:tr w:rsidR="006F502F" w:rsidRPr="00F232FB" w14:paraId="4275B041" w14:textId="77777777" w:rsidTr="006F502F">
        <w:trPr>
          <w:trHeight w:val="325"/>
          <w:jc w:val="center"/>
        </w:trPr>
        <w:tc>
          <w:tcPr>
            <w:tcW w:w="1615" w:type="dxa"/>
          </w:tcPr>
          <w:p w14:paraId="403BC6C6" w14:textId="0F71A649" w:rsidR="006F502F" w:rsidRPr="00F232FB" w:rsidRDefault="006F502F" w:rsidP="006F502F">
            <w:r w:rsidRPr="00F232FB">
              <w:t>High</w:t>
            </w:r>
            <w:r>
              <w:t xml:space="preserve"> </w:t>
            </w:r>
            <w:r w:rsidR="00984E33">
              <w:t xml:space="preserve">WQ Risk </w:t>
            </w:r>
            <w:r>
              <w:t>(&gt; MCL)</w:t>
            </w:r>
          </w:p>
        </w:tc>
        <w:tc>
          <w:tcPr>
            <w:tcW w:w="1170" w:type="dxa"/>
            <w:noWrap/>
            <w:hideMark/>
          </w:tcPr>
          <w:p w14:paraId="35F292D2" w14:textId="50B548B7" w:rsidR="006F502F" w:rsidRPr="00F232FB" w:rsidRDefault="006F502F" w:rsidP="006F502F">
            <w:r w:rsidRPr="00F232FB">
              <w:t>611</w:t>
            </w:r>
            <w:r w:rsidR="00BB5D3E">
              <w:t xml:space="preserve"> (42%)</w:t>
            </w:r>
          </w:p>
        </w:tc>
        <w:tc>
          <w:tcPr>
            <w:tcW w:w="1350" w:type="dxa"/>
            <w:noWrap/>
            <w:hideMark/>
          </w:tcPr>
          <w:p w14:paraId="35F755FC" w14:textId="4F8DAB8F" w:rsidR="006F502F" w:rsidRPr="00F232FB" w:rsidRDefault="006F502F" w:rsidP="006F502F">
            <w:r w:rsidRPr="00F232FB">
              <w:t>716</w:t>
            </w:r>
            <w:r w:rsidR="00BB5D3E">
              <w:t xml:space="preserve"> (49%)</w:t>
            </w:r>
          </w:p>
        </w:tc>
        <w:tc>
          <w:tcPr>
            <w:tcW w:w="1170" w:type="dxa"/>
            <w:noWrap/>
            <w:hideMark/>
          </w:tcPr>
          <w:p w14:paraId="6CAA7A43" w14:textId="4372FE05" w:rsidR="006F502F" w:rsidRPr="00F232FB" w:rsidRDefault="006F502F" w:rsidP="006F502F">
            <w:r w:rsidRPr="00F232FB">
              <w:t>602</w:t>
            </w:r>
            <w:r w:rsidR="00BB5D3E">
              <w:t xml:space="preserve"> (41%)</w:t>
            </w:r>
          </w:p>
        </w:tc>
        <w:tc>
          <w:tcPr>
            <w:tcW w:w="1260" w:type="dxa"/>
            <w:noWrap/>
            <w:hideMark/>
          </w:tcPr>
          <w:p w14:paraId="632154BF" w14:textId="483FEEB5" w:rsidR="006F502F" w:rsidRPr="00F232FB" w:rsidRDefault="006F502F" w:rsidP="006F502F">
            <w:r w:rsidRPr="00F232FB">
              <w:t>636</w:t>
            </w:r>
            <w:r w:rsidR="00BB5D3E">
              <w:t xml:space="preserve"> (43%)</w:t>
            </w:r>
          </w:p>
        </w:tc>
        <w:tc>
          <w:tcPr>
            <w:tcW w:w="1188" w:type="dxa"/>
            <w:noWrap/>
            <w:hideMark/>
          </w:tcPr>
          <w:p w14:paraId="10BD1FB2" w14:textId="3C1C1469" w:rsidR="006F502F" w:rsidRPr="00F232FB" w:rsidRDefault="006F502F" w:rsidP="006F502F">
            <w:r w:rsidRPr="00F232FB">
              <w:t>683</w:t>
            </w:r>
            <w:r w:rsidR="00BB5D3E">
              <w:t xml:space="preserve"> (47%)</w:t>
            </w:r>
          </w:p>
        </w:tc>
      </w:tr>
      <w:tr w:rsidR="006F502F" w:rsidRPr="00F232FB" w14:paraId="1D32B4B0" w14:textId="77777777" w:rsidTr="006F502F">
        <w:trPr>
          <w:trHeight w:val="325"/>
          <w:jc w:val="center"/>
        </w:trPr>
        <w:tc>
          <w:tcPr>
            <w:tcW w:w="1615" w:type="dxa"/>
          </w:tcPr>
          <w:p w14:paraId="1140D7B8" w14:textId="4ACF13CB" w:rsidR="006F502F" w:rsidRPr="00F232FB" w:rsidRDefault="006F502F" w:rsidP="006F502F">
            <w:r w:rsidRPr="00F232FB">
              <w:t>Me</w:t>
            </w:r>
            <w:r w:rsidR="00984E33">
              <w:t>dium WQ Risk</w:t>
            </w:r>
            <w:r>
              <w:t xml:space="preserve"> (80-100% MCL)</w:t>
            </w:r>
          </w:p>
        </w:tc>
        <w:tc>
          <w:tcPr>
            <w:tcW w:w="1170" w:type="dxa"/>
            <w:noWrap/>
            <w:hideMark/>
          </w:tcPr>
          <w:p w14:paraId="2BA19B02" w14:textId="0533770D" w:rsidR="006F502F" w:rsidRPr="00F232FB" w:rsidRDefault="006F502F" w:rsidP="006F502F">
            <w:r w:rsidRPr="00F232FB">
              <w:t>71</w:t>
            </w:r>
            <w:r w:rsidR="00BB5D3E">
              <w:t xml:space="preserve"> (5%)</w:t>
            </w:r>
          </w:p>
        </w:tc>
        <w:tc>
          <w:tcPr>
            <w:tcW w:w="1350" w:type="dxa"/>
            <w:noWrap/>
            <w:hideMark/>
          </w:tcPr>
          <w:p w14:paraId="71C45EC9" w14:textId="05FA06F5" w:rsidR="006F502F" w:rsidRPr="00F232FB" w:rsidRDefault="006F502F" w:rsidP="006F502F">
            <w:r w:rsidRPr="00F232FB">
              <w:t>99</w:t>
            </w:r>
            <w:r w:rsidR="00BB5D3E">
              <w:t xml:space="preserve"> (7%)</w:t>
            </w:r>
          </w:p>
        </w:tc>
        <w:tc>
          <w:tcPr>
            <w:tcW w:w="1170" w:type="dxa"/>
            <w:noWrap/>
            <w:hideMark/>
          </w:tcPr>
          <w:p w14:paraId="157534AA" w14:textId="28C12CEE" w:rsidR="006F502F" w:rsidRPr="00F232FB" w:rsidRDefault="006F502F" w:rsidP="006F502F">
            <w:r w:rsidRPr="00F232FB">
              <w:t>107</w:t>
            </w:r>
            <w:r w:rsidR="00BB5D3E">
              <w:t xml:space="preserve"> (7%)</w:t>
            </w:r>
          </w:p>
        </w:tc>
        <w:tc>
          <w:tcPr>
            <w:tcW w:w="1260" w:type="dxa"/>
            <w:noWrap/>
            <w:hideMark/>
          </w:tcPr>
          <w:p w14:paraId="4C722A1C" w14:textId="54204D7C" w:rsidR="006F502F" w:rsidRPr="00F232FB" w:rsidRDefault="006F502F" w:rsidP="006F502F">
            <w:r w:rsidRPr="00F232FB">
              <w:t>101</w:t>
            </w:r>
            <w:r w:rsidR="00BB5D3E">
              <w:t xml:space="preserve"> (7%)</w:t>
            </w:r>
          </w:p>
        </w:tc>
        <w:tc>
          <w:tcPr>
            <w:tcW w:w="1188" w:type="dxa"/>
            <w:noWrap/>
            <w:hideMark/>
          </w:tcPr>
          <w:p w14:paraId="52C65188" w14:textId="37F7A4F3" w:rsidR="006F502F" w:rsidRPr="00F232FB" w:rsidRDefault="006F502F" w:rsidP="006F502F">
            <w:r w:rsidRPr="00F232FB">
              <w:t>104</w:t>
            </w:r>
            <w:r w:rsidR="00BB5D3E">
              <w:t xml:space="preserve"> (7%)</w:t>
            </w:r>
          </w:p>
        </w:tc>
      </w:tr>
      <w:tr w:rsidR="006F502F" w:rsidRPr="00F232FB" w14:paraId="4A462D37" w14:textId="77777777" w:rsidTr="006F502F">
        <w:trPr>
          <w:trHeight w:val="325"/>
          <w:jc w:val="center"/>
        </w:trPr>
        <w:tc>
          <w:tcPr>
            <w:tcW w:w="1615" w:type="dxa"/>
          </w:tcPr>
          <w:p w14:paraId="479FAE81" w14:textId="246E23F6" w:rsidR="006F502F" w:rsidRPr="00F232FB" w:rsidRDefault="006F502F" w:rsidP="006F502F">
            <w:r w:rsidRPr="00F232FB">
              <w:lastRenderedPageBreak/>
              <w:t>Low</w:t>
            </w:r>
            <w:r w:rsidR="00984E33">
              <w:t xml:space="preserve"> WQ Risk</w:t>
            </w:r>
            <w:r>
              <w:t xml:space="preserve"> (&lt;80% MCL)</w:t>
            </w:r>
          </w:p>
        </w:tc>
        <w:tc>
          <w:tcPr>
            <w:tcW w:w="1170" w:type="dxa"/>
            <w:noWrap/>
            <w:hideMark/>
          </w:tcPr>
          <w:p w14:paraId="6C7AD330" w14:textId="639E7F4B" w:rsidR="006F502F" w:rsidRPr="00F232FB" w:rsidRDefault="006F502F" w:rsidP="006F502F">
            <w:r w:rsidRPr="00F232FB">
              <w:t>553</w:t>
            </w:r>
            <w:r w:rsidR="00BB5D3E">
              <w:t xml:space="preserve"> (38%)</w:t>
            </w:r>
          </w:p>
        </w:tc>
        <w:tc>
          <w:tcPr>
            <w:tcW w:w="1350" w:type="dxa"/>
            <w:noWrap/>
            <w:hideMark/>
          </w:tcPr>
          <w:p w14:paraId="3F04BE7D" w14:textId="4E0AC1A4" w:rsidR="006F502F" w:rsidRPr="00F232FB" w:rsidRDefault="006F502F" w:rsidP="006F502F">
            <w:r w:rsidRPr="00F232FB">
              <w:t>484</w:t>
            </w:r>
            <w:r w:rsidR="00BB5D3E">
              <w:t xml:space="preserve"> (33%)</w:t>
            </w:r>
          </w:p>
        </w:tc>
        <w:tc>
          <w:tcPr>
            <w:tcW w:w="1170" w:type="dxa"/>
            <w:noWrap/>
            <w:hideMark/>
          </w:tcPr>
          <w:p w14:paraId="340CAA89" w14:textId="56F2C511" w:rsidR="006F502F" w:rsidRPr="00F232FB" w:rsidRDefault="006F502F" w:rsidP="006F502F">
            <w:r w:rsidRPr="00F232FB">
              <w:t>578</w:t>
            </w:r>
            <w:r w:rsidR="00BB5D3E">
              <w:t xml:space="preserve"> (40%)</w:t>
            </w:r>
          </w:p>
        </w:tc>
        <w:tc>
          <w:tcPr>
            <w:tcW w:w="1260" w:type="dxa"/>
            <w:noWrap/>
            <w:hideMark/>
          </w:tcPr>
          <w:p w14:paraId="64F71D8A" w14:textId="18A0C08F" w:rsidR="006F502F" w:rsidRPr="00F232FB" w:rsidRDefault="006F502F" w:rsidP="006F502F">
            <w:r w:rsidRPr="00F232FB">
              <w:t>562</w:t>
            </w:r>
            <w:r w:rsidR="00BB5D3E">
              <w:t xml:space="preserve"> (38%)</w:t>
            </w:r>
          </w:p>
        </w:tc>
        <w:tc>
          <w:tcPr>
            <w:tcW w:w="1188" w:type="dxa"/>
            <w:noWrap/>
            <w:hideMark/>
          </w:tcPr>
          <w:p w14:paraId="773513D1" w14:textId="47761D6E" w:rsidR="006F502F" w:rsidRPr="00F232FB" w:rsidRDefault="006F502F" w:rsidP="006F502F">
            <w:r w:rsidRPr="00F232FB">
              <w:t>500</w:t>
            </w:r>
            <w:r w:rsidR="00BB5D3E">
              <w:t xml:space="preserve"> (34%)</w:t>
            </w:r>
          </w:p>
        </w:tc>
      </w:tr>
      <w:tr w:rsidR="006F502F" w:rsidRPr="00F232FB" w14:paraId="50B39470" w14:textId="77777777" w:rsidTr="006F502F">
        <w:trPr>
          <w:trHeight w:val="325"/>
          <w:jc w:val="center"/>
        </w:trPr>
        <w:tc>
          <w:tcPr>
            <w:tcW w:w="1615" w:type="dxa"/>
          </w:tcPr>
          <w:p w14:paraId="2CE431B0" w14:textId="4B7564B0" w:rsidR="006F502F" w:rsidRPr="00F232FB" w:rsidRDefault="00984E33" w:rsidP="006F502F">
            <w:r>
              <w:t>No WQ D</w:t>
            </w:r>
            <w:r w:rsidR="006F502F" w:rsidRPr="00F232FB">
              <w:t>ata</w:t>
            </w:r>
          </w:p>
        </w:tc>
        <w:tc>
          <w:tcPr>
            <w:tcW w:w="1170" w:type="dxa"/>
            <w:noWrap/>
            <w:hideMark/>
          </w:tcPr>
          <w:p w14:paraId="4608002B" w14:textId="7A8EA849" w:rsidR="006F502F" w:rsidRPr="00F232FB" w:rsidRDefault="006F502F" w:rsidP="006F502F">
            <w:r w:rsidRPr="00F232FB">
              <w:t>228</w:t>
            </w:r>
            <w:r w:rsidR="00BB5D3E">
              <w:t xml:space="preserve"> (16%)</w:t>
            </w:r>
          </w:p>
        </w:tc>
        <w:tc>
          <w:tcPr>
            <w:tcW w:w="1350" w:type="dxa"/>
            <w:noWrap/>
            <w:hideMark/>
          </w:tcPr>
          <w:p w14:paraId="3BFB5102" w14:textId="18B730CC" w:rsidR="006F502F" w:rsidRPr="00F232FB" w:rsidRDefault="006F502F" w:rsidP="006F502F">
            <w:r w:rsidRPr="00F232FB">
              <w:t>164</w:t>
            </w:r>
            <w:r w:rsidR="00BB5D3E">
              <w:t xml:space="preserve"> (11%)</w:t>
            </w:r>
          </w:p>
        </w:tc>
        <w:tc>
          <w:tcPr>
            <w:tcW w:w="1170" w:type="dxa"/>
            <w:noWrap/>
            <w:hideMark/>
          </w:tcPr>
          <w:p w14:paraId="335F816F" w14:textId="0CEEF63E" w:rsidR="006F502F" w:rsidRPr="00F232FB" w:rsidRDefault="006F502F" w:rsidP="006F502F">
            <w:r w:rsidRPr="00F232FB">
              <w:t>176</w:t>
            </w:r>
            <w:r w:rsidR="00BB5D3E">
              <w:t xml:space="preserve"> (12%)</w:t>
            </w:r>
          </w:p>
        </w:tc>
        <w:tc>
          <w:tcPr>
            <w:tcW w:w="1260" w:type="dxa"/>
            <w:noWrap/>
            <w:hideMark/>
          </w:tcPr>
          <w:p w14:paraId="71F552A4" w14:textId="611EB7FC" w:rsidR="006F502F" w:rsidRPr="00F232FB" w:rsidRDefault="006F502F" w:rsidP="006F502F">
            <w:r w:rsidRPr="00F232FB">
              <w:t>164</w:t>
            </w:r>
            <w:r w:rsidR="00BB5D3E">
              <w:t xml:space="preserve"> (11%)</w:t>
            </w:r>
          </w:p>
        </w:tc>
        <w:tc>
          <w:tcPr>
            <w:tcW w:w="1188" w:type="dxa"/>
            <w:noWrap/>
            <w:hideMark/>
          </w:tcPr>
          <w:p w14:paraId="6B705D2E" w14:textId="6D30F91F" w:rsidR="006F502F" w:rsidRPr="00F232FB" w:rsidRDefault="006F502F" w:rsidP="006F502F">
            <w:r w:rsidRPr="00F232FB">
              <w:t>176</w:t>
            </w:r>
            <w:r w:rsidR="00BB5D3E">
              <w:t xml:space="preserve"> (12%)</w:t>
            </w:r>
          </w:p>
        </w:tc>
      </w:tr>
    </w:tbl>
    <w:p w14:paraId="6C81BD72" w14:textId="4B19145B" w:rsidR="00F232FB" w:rsidRPr="00304FB4" w:rsidRDefault="00F232FB" w:rsidP="00E2394F"/>
    <w:p w14:paraId="2768A910" w14:textId="77777777" w:rsidR="003000F1" w:rsidRDefault="00246CA9" w:rsidP="00392909">
      <w:pPr>
        <w:pStyle w:val="ListParagraph"/>
        <w:numPr>
          <w:ilvl w:val="0"/>
          <w:numId w:val="1"/>
        </w:numPr>
      </w:pPr>
      <w:bookmarkStart w:id="0" w:name="_Hlk82073890"/>
      <w:bookmarkStart w:id="1" w:name="_Hlk82073914"/>
      <w:r w:rsidRPr="001D2D29">
        <w:rPr>
          <w:b/>
          <w:bCs/>
        </w:rPr>
        <w:t>Incorporate drought risk data</w:t>
      </w:r>
      <w:r>
        <w:t>.</w:t>
      </w:r>
      <w:r w:rsidR="00392909">
        <w:t xml:space="preserve"> </w:t>
      </w:r>
      <w:r w:rsidR="003000F1">
        <w:t xml:space="preserve">The Department of Water Resources County Drought Advisory Group calculated drought risk per census block group for </w:t>
      </w:r>
      <w:hyperlink r:id="rId8" w:history="1">
        <w:r w:rsidR="003000F1" w:rsidRPr="00777010">
          <w:rPr>
            <w:rStyle w:val="Hyperlink"/>
          </w:rPr>
          <w:t>rural/self-supplied communities</w:t>
        </w:r>
      </w:hyperlink>
      <w:r w:rsidR="003000F1">
        <w:t>. These data were modified for use in the 2022 Aquifer Risk Map to avoid duplicating the water quality risk factor (RC2i). The modification consisted of a re-calculation of the current conditions risk factor (Score_RC2) as</w:t>
      </w:r>
      <w:r w:rsidR="00F232FB">
        <w:t xml:space="preserve">: </w:t>
      </w:r>
    </w:p>
    <w:p w14:paraId="167615E8" w14:textId="6B6F49A1" w:rsidR="00F232FB" w:rsidRDefault="00246CA9" w:rsidP="003000F1">
      <w:pPr>
        <w:pStyle w:val="ListParagraph"/>
      </w:pPr>
      <m:oMathPara>
        <m:oMath>
          <m:r>
            <m:rPr>
              <m:sty m:val="p"/>
            </m:rPr>
            <w:rPr>
              <w:rFonts w:ascii="Cambria Math" w:hAnsi="Cambria Math"/>
              <w:sz w:val="18"/>
              <w:szCs w:val="18"/>
            </w:rPr>
            <w:br/>
          </m:r>
        </m:oMath>
        <m:oMath>
          <m:r>
            <w:rPr>
              <w:rFonts w:ascii="Cambria Math" w:hAnsi="Cambria Math"/>
              <w:sz w:val="18"/>
              <w:szCs w:val="18"/>
            </w:rPr>
            <m:t>Score_RC2mean_NEW=MEAN(</m:t>
          </m:r>
          <m:r>
            <m:rPr>
              <m:sty m:val="p"/>
            </m:rPr>
            <w:rPr>
              <w:rFonts w:ascii="Cambria Math" w:hAnsi="Cambria Math"/>
              <w:sz w:val="18"/>
              <w:szCs w:val="18"/>
            </w:rPr>
            <m:t>rRC2a_drought, rRC2b_calfire, rRC2c_FRA, rRC2h_popgrowth, rRC2defgj_max)</m:t>
          </m:r>
        </m:oMath>
      </m:oMathPara>
    </w:p>
    <w:p w14:paraId="086A7CB1" w14:textId="58C2CC4F" w:rsidR="00F232FB" w:rsidRDefault="00F232FB" w:rsidP="00F232FB">
      <w:pPr>
        <w:pStyle w:val="ListParagraph"/>
        <w:rPr>
          <w:rFonts w:eastAsiaTheme="minorEastAsia"/>
        </w:rPr>
      </w:pPr>
      <w:r>
        <w:rPr>
          <w:rFonts w:eastAsiaTheme="minorEastAsia"/>
        </w:rPr>
        <w:br/>
      </w:r>
      <w:r w:rsidR="003000F1" w:rsidRPr="00777010">
        <w:rPr>
          <w:rFonts w:eastAsiaTheme="minorEastAsia"/>
        </w:rPr>
        <w:t>The new current conditions risk factor (Score_RC2mean_NEW) was then used to recalculate the final risk score. No other weighing or risk factors were changed in the final score calculation. The modified scores were then grouped into the upper 20</w:t>
      </w:r>
      <w:r w:rsidR="003000F1" w:rsidRPr="00777010">
        <w:rPr>
          <w:rFonts w:eastAsiaTheme="minorEastAsia"/>
          <w:vertAlign w:val="superscript"/>
        </w:rPr>
        <w:t>th</w:t>
      </w:r>
      <w:r w:rsidR="003000F1" w:rsidRPr="00777010">
        <w:rPr>
          <w:rFonts w:eastAsiaTheme="minorEastAsia"/>
        </w:rPr>
        <w:t xml:space="preserve"> percentile (</w:t>
      </w:r>
      <w:r w:rsidR="003000F1">
        <w:rPr>
          <w:rFonts w:eastAsiaTheme="minorEastAsia"/>
        </w:rPr>
        <w:t xml:space="preserve">modified </w:t>
      </w:r>
      <w:r w:rsidR="003000F1" w:rsidRPr="00777010">
        <w:rPr>
          <w:rFonts w:eastAsiaTheme="minorEastAsia"/>
        </w:rPr>
        <w:t>scores of 55 – 100), the middle 20</w:t>
      </w:r>
      <w:r w:rsidR="003000F1" w:rsidRPr="00777010">
        <w:rPr>
          <w:rFonts w:eastAsiaTheme="minorEastAsia"/>
          <w:vertAlign w:val="superscript"/>
        </w:rPr>
        <w:t>th</w:t>
      </w:r>
      <w:r w:rsidR="003000F1" w:rsidRPr="00777010">
        <w:rPr>
          <w:rFonts w:eastAsiaTheme="minorEastAsia"/>
        </w:rPr>
        <w:t xml:space="preserve"> – 80</w:t>
      </w:r>
      <w:r w:rsidR="003000F1" w:rsidRPr="00777010">
        <w:rPr>
          <w:rFonts w:eastAsiaTheme="minorEastAsia"/>
          <w:vertAlign w:val="superscript"/>
        </w:rPr>
        <w:t>th</w:t>
      </w:r>
      <w:r w:rsidR="003000F1" w:rsidRPr="00777010">
        <w:rPr>
          <w:rFonts w:eastAsiaTheme="minorEastAsia"/>
        </w:rPr>
        <w:t xml:space="preserve"> percentile (</w:t>
      </w:r>
      <w:r w:rsidR="003000F1">
        <w:rPr>
          <w:rFonts w:eastAsiaTheme="minorEastAsia"/>
        </w:rPr>
        <w:t xml:space="preserve">modified </w:t>
      </w:r>
      <w:r w:rsidR="003000F1" w:rsidRPr="00777010">
        <w:rPr>
          <w:rFonts w:eastAsiaTheme="minorEastAsia"/>
        </w:rPr>
        <w:t>scores 28 – 55) and the lower 20</w:t>
      </w:r>
      <w:r w:rsidR="003000F1" w:rsidRPr="00777010">
        <w:rPr>
          <w:rFonts w:eastAsiaTheme="minorEastAsia"/>
          <w:vertAlign w:val="superscript"/>
        </w:rPr>
        <w:t>th</w:t>
      </w:r>
      <w:r w:rsidR="003000F1" w:rsidRPr="00777010">
        <w:rPr>
          <w:rFonts w:eastAsiaTheme="minorEastAsia"/>
        </w:rPr>
        <w:t xml:space="preserve"> percentile (</w:t>
      </w:r>
      <w:r w:rsidR="003000F1">
        <w:rPr>
          <w:rFonts w:eastAsiaTheme="minorEastAsia"/>
        </w:rPr>
        <w:t xml:space="preserve">modified </w:t>
      </w:r>
      <w:r w:rsidR="003000F1" w:rsidRPr="00777010">
        <w:rPr>
          <w:rFonts w:eastAsiaTheme="minorEastAsia"/>
        </w:rPr>
        <w:t>scores of 0 – 28).</w:t>
      </w:r>
      <w:r w:rsidR="003000F1">
        <w:rPr>
          <w:rFonts w:eastAsiaTheme="minorEastAsia"/>
        </w:rPr>
        <w:t xml:space="preserve"> </w:t>
      </w:r>
      <w:r w:rsidR="003000F1" w:rsidRPr="00777010">
        <w:rPr>
          <w:rFonts w:eastAsiaTheme="minorEastAsia"/>
        </w:rPr>
        <w:t xml:space="preserve">The modified drought risk scores will be visible as map layer </w:t>
      </w:r>
      <w:r w:rsidR="003000F1">
        <w:rPr>
          <w:rFonts w:eastAsiaTheme="minorEastAsia"/>
        </w:rPr>
        <w:t>o</w:t>
      </w:r>
      <w:r w:rsidR="003000F1" w:rsidRPr="00777010">
        <w:rPr>
          <w:rFonts w:eastAsiaTheme="minorEastAsia"/>
        </w:rPr>
        <w:t>n the online Aquifer Risk Map</w:t>
      </w:r>
      <w:r w:rsidR="00E10F97">
        <w:rPr>
          <w:rFonts w:eastAsiaTheme="minorEastAsia"/>
        </w:rPr>
        <w:t>.</w:t>
      </w:r>
    </w:p>
    <w:p w14:paraId="435404E0" w14:textId="77777777" w:rsidR="00F905C6" w:rsidRDefault="003000F1" w:rsidP="00F905C6">
      <w:pPr>
        <w:pStyle w:val="ListParagraph"/>
        <w:keepNext/>
        <w:jc w:val="center"/>
      </w:pPr>
      <w:r>
        <w:rPr>
          <w:rFonts w:eastAsiaTheme="minorEastAsia"/>
          <w:noProof/>
        </w:rPr>
        <w:lastRenderedPageBreak/>
        <w:drawing>
          <wp:inline distT="0" distB="0" distL="0" distR="0" wp14:anchorId="70028CAB" wp14:editId="7D73DA21">
            <wp:extent cx="4670931" cy="5153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003" r="17013"/>
                    <a:stretch/>
                  </pic:blipFill>
                  <pic:spPr bwMode="auto">
                    <a:xfrm>
                      <a:off x="0" y="0"/>
                      <a:ext cx="4695213" cy="5179813"/>
                    </a:xfrm>
                    <a:prstGeom prst="rect">
                      <a:avLst/>
                    </a:prstGeom>
                    <a:noFill/>
                    <a:ln>
                      <a:noFill/>
                    </a:ln>
                    <a:extLst>
                      <a:ext uri="{53640926-AAD7-44D8-BBD7-CCE9431645EC}">
                        <a14:shadowObscured xmlns:a14="http://schemas.microsoft.com/office/drawing/2010/main"/>
                      </a:ext>
                    </a:extLst>
                  </pic:spPr>
                </pic:pic>
              </a:graphicData>
            </a:graphic>
          </wp:inline>
        </w:drawing>
      </w:r>
    </w:p>
    <w:p w14:paraId="4424D7C7" w14:textId="7B951F18" w:rsidR="003000F1" w:rsidRDefault="00F905C6" w:rsidP="00F905C6">
      <w:pPr>
        <w:pStyle w:val="Caption"/>
        <w:jc w:val="center"/>
        <w:rPr>
          <w:rFonts w:eastAsiaTheme="minorEastAsia"/>
        </w:rPr>
      </w:pPr>
      <w:r>
        <w:t xml:space="preserve">Figure </w:t>
      </w:r>
      <w:fldSimple w:instr=" SEQ Figure \* ARABIC ">
        <w:r w:rsidR="00F56D75">
          <w:rPr>
            <w:noProof/>
          </w:rPr>
          <w:t>1</w:t>
        </w:r>
      </w:fldSimple>
      <w:r>
        <w:t xml:space="preserve">. </w:t>
      </w:r>
      <w:r w:rsidRPr="004363FE">
        <w:t>Example of modified drought risk score layer display for online Aquifer Risk Map.</w:t>
      </w:r>
    </w:p>
    <w:p w14:paraId="2571E035" w14:textId="77777777" w:rsidR="003000F1" w:rsidRDefault="003000F1" w:rsidP="003000F1">
      <w:pPr>
        <w:rPr>
          <w:rFonts w:eastAsiaTheme="minorEastAsia"/>
        </w:rPr>
      </w:pPr>
      <w:r w:rsidRPr="00777010">
        <w:rPr>
          <w:rFonts w:eastAsiaTheme="minorEastAsia"/>
        </w:rPr>
        <w:t xml:space="preserve">Aquifer Risk Map data was summarized at the block group level </w:t>
      </w:r>
      <w:r>
        <w:rPr>
          <w:rFonts w:eastAsiaTheme="minorEastAsia"/>
        </w:rPr>
        <w:t>by counting the number of</w:t>
      </w:r>
      <w:r w:rsidRPr="00777010">
        <w:rPr>
          <w:rFonts w:eastAsiaTheme="minorEastAsia"/>
        </w:rPr>
        <w:t xml:space="preserve"> domestic wells and state small water systems </w:t>
      </w:r>
      <w:r>
        <w:rPr>
          <w:rFonts w:eastAsiaTheme="minorEastAsia"/>
        </w:rPr>
        <w:t xml:space="preserve">in each water quality risk bin (high risk: water quality estimate &gt; MCL; medium risk: water quality estimate 80%-100% of MCL; low risk: water quality estimate &lt; 80% of MCL). These counts were then compared to the modified drought risk scores of each block group. </w:t>
      </w:r>
    </w:p>
    <w:p w14:paraId="1CB328D9" w14:textId="42340D0E" w:rsidR="003000F1" w:rsidRDefault="00F905C6" w:rsidP="003000F1">
      <w:pPr>
        <w:rPr>
          <w:rFonts w:eastAsiaTheme="minorEastAsia"/>
        </w:rPr>
      </w:pPr>
      <w:r>
        <w:rPr>
          <w:rFonts w:eastAsiaTheme="minorEastAsia"/>
        </w:rPr>
        <w:t>The graphs below</w:t>
      </w:r>
      <w:r w:rsidR="003000F1">
        <w:rPr>
          <w:rFonts w:eastAsiaTheme="minorEastAsia"/>
        </w:rPr>
        <w:t xml:space="preserve"> show the statewide distribution of domestic wells and state small water systems separated by modified drought risk (columns) and water quality risk (colors). Statewide, there may be up to 41,000 domestic well records and approximately 159 state small water systems in areas where the water quality is estimated to be above the MCL and where the modified drought risk score is in the upper 20</w:t>
      </w:r>
      <w:r w:rsidR="003000F1" w:rsidRPr="00FA1B97">
        <w:rPr>
          <w:rFonts w:eastAsiaTheme="minorEastAsia"/>
          <w:vertAlign w:val="superscript"/>
        </w:rPr>
        <w:t>th</w:t>
      </w:r>
      <w:r w:rsidR="003000F1">
        <w:rPr>
          <w:rFonts w:eastAsiaTheme="minorEastAsia"/>
        </w:rPr>
        <w:t xml:space="preserve"> percentile. Fresno and Tulare counties account for one fourth of these domestic wells.</w:t>
      </w:r>
    </w:p>
    <w:p w14:paraId="37FE7CB0" w14:textId="08D04BB3" w:rsidR="00E10F97" w:rsidRDefault="003000F1" w:rsidP="003000F1">
      <w:pPr>
        <w:rPr>
          <w:rFonts w:eastAsiaTheme="minorEastAsia"/>
        </w:rPr>
      </w:pPr>
      <w:r w:rsidRPr="003000F1">
        <w:rPr>
          <w:rFonts w:eastAsiaTheme="minorEastAsia"/>
        </w:rPr>
        <w:t>It is important to note that drought risk of an individual system or domestic well is dependent on well depth, local conditions, and other factors not represented here. Similarly, the water quality of an individual system or domestic well is best assessed through testing of that well, and the water quality risk presented here is only an estimate based on data from surrounding wells.</w:t>
      </w:r>
      <w:bookmarkEnd w:id="0"/>
    </w:p>
    <w:p w14:paraId="6B429450" w14:textId="77777777" w:rsidR="00F56D75" w:rsidRDefault="00984E33" w:rsidP="00F56D75">
      <w:pPr>
        <w:keepNext/>
        <w:rPr>
          <w:rFonts w:eastAsiaTheme="minorEastAsia"/>
        </w:rPr>
      </w:pPr>
      <w:r>
        <w:rPr>
          <w:rFonts w:eastAsiaTheme="minorEastAsia"/>
        </w:rPr>
        <w:lastRenderedPageBreak/>
        <w:t>“Current conditions” water level data will also be displayed as a live link from the Department of Water Resources. This data layer displays current groundwater level in comparison to historic levels, highlighting wells that are at or close to historic lows. Although this coverage is not statewide and does not represent domestic wells, it does give an up-to-date look at water level data in most state basins.</w:t>
      </w:r>
    </w:p>
    <w:p w14:paraId="1B0B6B11" w14:textId="5DB10611" w:rsidR="00984E33" w:rsidRDefault="00984E33" w:rsidP="00984E33">
      <w:pPr>
        <w:keepNext/>
        <w:jc w:val="center"/>
      </w:pPr>
      <w:r>
        <w:rPr>
          <w:rFonts w:eastAsiaTheme="minorEastAsia"/>
          <w:noProof/>
        </w:rPr>
        <w:drawing>
          <wp:inline distT="0" distB="0" distL="0" distR="0" wp14:anchorId="41AB7717" wp14:editId="4F2A73B6">
            <wp:extent cx="3781425" cy="4276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780" t="2079" r="17496" b="4574"/>
                    <a:stretch/>
                  </pic:blipFill>
                  <pic:spPr bwMode="auto">
                    <a:xfrm>
                      <a:off x="0" y="0"/>
                      <a:ext cx="3781425" cy="4276725"/>
                    </a:xfrm>
                    <a:prstGeom prst="rect">
                      <a:avLst/>
                    </a:prstGeom>
                    <a:noFill/>
                    <a:ln>
                      <a:noFill/>
                    </a:ln>
                    <a:extLst>
                      <a:ext uri="{53640926-AAD7-44D8-BBD7-CCE9431645EC}">
                        <a14:shadowObscured xmlns:a14="http://schemas.microsoft.com/office/drawing/2010/main"/>
                      </a:ext>
                    </a:extLst>
                  </pic:spPr>
                </pic:pic>
              </a:graphicData>
            </a:graphic>
          </wp:inline>
        </w:drawing>
      </w:r>
    </w:p>
    <w:p w14:paraId="39F4B65E" w14:textId="73F4BC34" w:rsidR="00984E33" w:rsidRPr="003000F1" w:rsidRDefault="00984E33" w:rsidP="00984E33">
      <w:pPr>
        <w:pStyle w:val="Caption"/>
        <w:jc w:val="center"/>
        <w:rPr>
          <w:rFonts w:eastAsiaTheme="minorEastAsia"/>
        </w:rPr>
      </w:pPr>
      <w:r>
        <w:t xml:space="preserve">Figure </w:t>
      </w:r>
      <w:fldSimple w:instr=" SEQ Figure \* ARABIC ">
        <w:r w:rsidR="00F56D75">
          <w:rPr>
            <w:noProof/>
          </w:rPr>
          <w:t>2</w:t>
        </w:r>
      </w:fldSimple>
      <w:r>
        <w:t>. Screenshot of the "current conditions" groundwater level data from the Department of Water Resources. The color shows the current groundwater level conditions of a well compared to historic average.</w:t>
      </w:r>
    </w:p>
    <w:bookmarkEnd w:id="1"/>
    <w:p w14:paraId="7E5501DC" w14:textId="6A87DD44" w:rsidR="00FA5CB0" w:rsidRDefault="00392909" w:rsidP="00392909">
      <w:pPr>
        <w:pStyle w:val="Heading1"/>
      </w:pPr>
      <w:r>
        <w:t>Other updates</w:t>
      </w:r>
    </w:p>
    <w:p w14:paraId="54C46E19" w14:textId="4D859471" w:rsidR="00CE5151" w:rsidRDefault="00392909" w:rsidP="00CE5151">
      <w:pPr>
        <w:pStyle w:val="ListParagraph"/>
        <w:numPr>
          <w:ilvl w:val="0"/>
          <w:numId w:val="8"/>
        </w:numPr>
      </w:pPr>
      <w:r>
        <w:t xml:space="preserve">New </w:t>
      </w:r>
      <w:r w:rsidR="00CE5151">
        <w:t xml:space="preserve">water quality </w:t>
      </w:r>
      <w:r>
        <w:t xml:space="preserve">data and increased domestic well sampling through the Irrigated Lands Regulatory Program will improve the data coverage of the 2021 Aquifer Risk Map. If no other methodology updates are </w:t>
      </w:r>
      <w:r w:rsidR="00CE5151">
        <w:t>applied, the 2021 Aquifer Risk Map will have more “high” risk domestic wells and less “high” risk state small water systems than the 2020 Aquifer Risk Map.</w:t>
      </w:r>
    </w:p>
    <w:p w14:paraId="57C8C06D" w14:textId="3037AD20" w:rsidR="00FA5CB0" w:rsidRDefault="00CE5151" w:rsidP="00CE5151">
      <w:pPr>
        <w:pStyle w:val="ListParagraph"/>
        <w:numPr>
          <w:ilvl w:val="0"/>
          <w:numId w:val="8"/>
        </w:numPr>
      </w:pPr>
      <w:r w:rsidRPr="00CE5151">
        <w:t xml:space="preserve">There are two technical updates to the Aquifer Risk Map code that slightly change the </w:t>
      </w:r>
      <w:r w:rsidR="003A6FD7">
        <w:t>map</w:t>
      </w:r>
      <w:r w:rsidRPr="00CE5151">
        <w:t xml:space="preserve">. Firstly, </w:t>
      </w:r>
      <w:r w:rsidR="003A6FD7">
        <w:t>contaminants</w:t>
      </w:r>
      <w:r w:rsidR="00FA5CB0" w:rsidRPr="00CE5151">
        <w:t xml:space="preserve"> of concern will </w:t>
      </w:r>
      <w:r w:rsidR="003A6FD7">
        <w:t xml:space="preserve">now </w:t>
      </w:r>
      <w:r w:rsidR="00FA5CB0" w:rsidRPr="00CE5151">
        <w:t xml:space="preserve">only appear once in risk lists for point, section, and census block group. Previously, if a </w:t>
      </w:r>
      <w:r w:rsidR="003A6FD7">
        <w:t>contaminant</w:t>
      </w:r>
      <w:r w:rsidR="003A6FD7" w:rsidRPr="00CE5151">
        <w:t xml:space="preserve"> </w:t>
      </w:r>
      <w:r w:rsidR="00FA5CB0" w:rsidRPr="00CE5151">
        <w:t xml:space="preserve">had a long-term average over the MCL and a recent value at 0.9 times the MCL, that </w:t>
      </w:r>
      <w:r w:rsidR="003A6FD7">
        <w:t>contaminant</w:t>
      </w:r>
      <w:r w:rsidR="003A6FD7" w:rsidRPr="00CE5151">
        <w:t xml:space="preserve"> </w:t>
      </w:r>
      <w:r w:rsidR="00FA5CB0" w:rsidRPr="00CE5151">
        <w:t xml:space="preserve">would count as both a “high-risk” and “medium-risk”. </w:t>
      </w:r>
      <w:r w:rsidRPr="00CE5151">
        <w:t>In the updated version, this will only count</w:t>
      </w:r>
      <w:r w:rsidR="00FA5CB0" w:rsidRPr="00CE5151">
        <w:t xml:space="preserve"> once as a “high-risk” </w:t>
      </w:r>
      <w:r w:rsidR="003A6FD7">
        <w:t>contaminant</w:t>
      </w:r>
      <w:r w:rsidR="00FA5CB0" w:rsidRPr="00CE5151">
        <w:t xml:space="preserve">. </w:t>
      </w:r>
      <w:r w:rsidRPr="00CE5151">
        <w:t xml:space="preserve">Secondly, </w:t>
      </w:r>
      <w:r w:rsidR="00FA5CB0" w:rsidRPr="00CE5151">
        <w:t>“</w:t>
      </w:r>
      <w:r w:rsidRPr="00CE5151">
        <w:t>n</w:t>
      </w:r>
      <w:r w:rsidR="00FA5CB0" w:rsidRPr="00CE5151">
        <w:t xml:space="preserve">eighbor” values will be determined by </w:t>
      </w:r>
      <w:r w:rsidR="003A6FD7">
        <w:t>contaminant</w:t>
      </w:r>
      <w:r w:rsidR="00FA5CB0" w:rsidRPr="00CE5151">
        <w:t xml:space="preserve">/section pairs instead of just by section. Previously, if a section had any water quality data, it could not be represented by </w:t>
      </w:r>
      <w:r w:rsidR="00FA5CB0" w:rsidRPr="00CE5151">
        <w:lastRenderedPageBreak/>
        <w:t xml:space="preserve">neighbor values even if that section only had water quality data from one </w:t>
      </w:r>
      <w:r w:rsidR="003A6FD7">
        <w:t xml:space="preserve">contaminant </w:t>
      </w:r>
      <w:r w:rsidR="00FA5CB0" w:rsidRPr="00CE5151">
        <w:t xml:space="preserve">and neighboring sections had water quality results for multiple </w:t>
      </w:r>
      <w:r w:rsidR="003A6FD7">
        <w:t>contaminants</w:t>
      </w:r>
      <w:r w:rsidR="00FA5CB0" w:rsidRPr="00CE5151">
        <w:t>.</w:t>
      </w:r>
    </w:p>
    <w:p w14:paraId="62F96031" w14:textId="2C44298B" w:rsidR="00984E33" w:rsidRDefault="00F56D75" w:rsidP="00CE5151">
      <w:pPr>
        <w:pStyle w:val="ListParagraph"/>
        <w:numPr>
          <w:ilvl w:val="0"/>
          <w:numId w:val="8"/>
        </w:numPr>
      </w:pPr>
      <w:r>
        <w:t>There will be a slight</w:t>
      </w:r>
      <w:r w:rsidR="00984E33">
        <w:t xml:space="preserve"> chang</w:t>
      </w:r>
      <w:r>
        <w:t xml:space="preserve">e to </w:t>
      </w:r>
      <w:r w:rsidR="00984E33">
        <w:t>the way domestic well records are queried from the Online System for Well Completion Reports (OSWCR). Previously</w:t>
      </w:r>
      <w:r>
        <w:t xml:space="preserve"> well completion records that contained the word</w:t>
      </w:r>
      <w:r w:rsidR="00984E33">
        <w:t xml:space="preserve"> “domestic” </w:t>
      </w:r>
      <w:r>
        <w:t xml:space="preserve">were queried, excluding “domestic” </w:t>
      </w:r>
      <w:r w:rsidR="00984E33">
        <w:t xml:space="preserve">wells that were drilled prior to 1970. For this </w:t>
      </w:r>
      <w:r>
        <w:t>update</w:t>
      </w:r>
      <w:r w:rsidR="00984E33">
        <w:t xml:space="preserve">, we propose to also exclude well completion reports that have “destruction” in their record type name. This should help to avoid counting destruction records as active domestic wells. This slightly </w:t>
      </w:r>
      <w:r>
        <w:t>reduces</w:t>
      </w:r>
      <w:r w:rsidR="00984E33">
        <w:t xml:space="preserve"> the total number of domestic well records from ~32</w:t>
      </w:r>
      <w:r>
        <w:t>5</w:t>
      </w:r>
      <w:r w:rsidR="00984E33">
        <w:t>,000 to ~312,000.</w:t>
      </w:r>
      <w:r w:rsidR="009575B0">
        <w:t xml:space="preserve"> If future improvements are made to domestic well location and record </w:t>
      </w:r>
      <w:proofErr w:type="gramStart"/>
      <w:r w:rsidR="009575B0">
        <w:t>data</w:t>
      </w:r>
      <w:proofErr w:type="gramEnd"/>
      <w:r w:rsidR="009575B0">
        <w:t xml:space="preserve"> we will continue to improve this aspect of the Aquifer Risk Map.</w:t>
      </w:r>
    </w:p>
    <w:p w14:paraId="4DFA9655" w14:textId="7E40197B" w:rsidR="00F56D75" w:rsidRDefault="00F56D75" w:rsidP="00CE5151">
      <w:pPr>
        <w:pStyle w:val="ListParagraph"/>
        <w:numPr>
          <w:ilvl w:val="0"/>
          <w:numId w:val="8"/>
        </w:numPr>
      </w:pPr>
      <w:r>
        <w:t xml:space="preserve">Race and ethnicity data from the 2020 census will be included as an informational layer on the online map. The “census block group data” layer will include all demographic information that is available at the block group level, including median household income (disadvantaged community status) and race and ethnicity data. The drought risk scores for rural and self-supplied communities are also available at the block group level and will be displayed in this data layer. </w:t>
      </w:r>
    </w:p>
    <w:tbl>
      <w:tblPr>
        <w:tblW w:w="5750" w:type="dxa"/>
        <w:jc w:val="center"/>
        <w:tblCellMar>
          <w:left w:w="0" w:type="dxa"/>
          <w:right w:w="0" w:type="dxa"/>
        </w:tblCellMar>
        <w:tblLook w:val="0420" w:firstRow="1" w:lastRow="0" w:firstColumn="0" w:lastColumn="0" w:noHBand="0" w:noVBand="1"/>
      </w:tblPr>
      <w:tblGrid>
        <w:gridCol w:w="3680"/>
        <w:gridCol w:w="2070"/>
      </w:tblGrid>
      <w:tr w:rsidR="00F56D75" w:rsidRPr="00F56D75" w14:paraId="1472E0A9" w14:textId="77777777" w:rsidTr="00F56D75">
        <w:trPr>
          <w:trHeight w:val="187"/>
          <w:jc w:val="center"/>
        </w:trPr>
        <w:tc>
          <w:tcPr>
            <w:tcW w:w="3680" w:type="dxa"/>
            <w:tcBorders>
              <w:top w:val="single" w:sz="8" w:space="0" w:color="000000"/>
              <w:left w:val="single" w:sz="8" w:space="0" w:color="000000"/>
              <w:bottom w:val="single" w:sz="8" w:space="0" w:color="000000"/>
              <w:right w:val="single" w:sz="8" w:space="0" w:color="000000"/>
            </w:tcBorders>
            <w:shd w:val="clear" w:color="auto" w:fill="A5A5A5" w:themeFill="accent3"/>
            <w:tcMar>
              <w:top w:w="15" w:type="dxa"/>
              <w:left w:w="15" w:type="dxa"/>
              <w:bottom w:w="0" w:type="dxa"/>
              <w:right w:w="15" w:type="dxa"/>
            </w:tcMar>
            <w:hideMark/>
          </w:tcPr>
          <w:p w14:paraId="277E2E7B"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GEOID</w:t>
            </w:r>
          </w:p>
        </w:tc>
        <w:tc>
          <w:tcPr>
            <w:tcW w:w="2070" w:type="dxa"/>
            <w:tcBorders>
              <w:top w:val="single" w:sz="8" w:space="0" w:color="000000"/>
              <w:left w:val="single" w:sz="8" w:space="0" w:color="000000"/>
              <w:bottom w:val="single" w:sz="8" w:space="0" w:color="000000"/>
              <w:right w:val="single" w:sz="8" w:space="0" w:color="000000"/>
            </w:tcBorders>
            <w:shd w:val="clear" w:color="auto" w:fill="A5A5A5" w:themeFill="accent3"/>
            <w:tcMar>
              <w:top w:w="15" w:type="dxa"/>
              <w:left w:w="15" w:type="dxa"/>
              <w:bottom w:w="0" w:type="dxa"/>
              <w:right w:w="15" w:type="dxa"/>
            </w:tcMar>
            <w:hideMark/>
          </w:tcPr>
          <w:p w14:paraId="2EC9F2C3"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060670092012</w:t>
            </w:r>
          </w:p>
        </w:tc>
      </w:tr>
      <w:tr w:rsidR="00F56D75" w:rsidRPr="00F56D75" w14:paraId="2BC0EF2A" w14:textId="77777777" w:rsidTr="00F56D75">
        <w:trPr>
          <w:trHeight w:val="249"/>
          <w:jc w:val="center"/>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16216141"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County</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199CB463"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Sacramento County</w:t>
            </w:r>
          </w:p>
        </w:tc>
      </w:tr>
      <w:tr w:rsidR="00F56D75" w:rsidRPr="00F56D75" w14:paraId="36705B79" w14:textId="77777777" w:rsidTr="00F56D75">
        <w:trPr>
          <w:trHeight w:val="249"/>
          <w:jc w:val="center"/>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23A3F6C0"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High-Risk Domestic Wells</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643DEB14"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34.67</w:t>
            </w:r>
          </w:p>
        </w:tc>
      </w:tr>
      <w:tr w:rsidR="00F56D75" w:rsidRPr="00F56D75" w14:paraId="29284BD6" w14:textId="77777777" w:rsidTr="00F56D75">
        <w:trPr>
          <w:trHeight w:val="249"/>
          <w:jc w:val="center"/>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0F71F871"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Total Domestic Wells</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2254C578"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153.21</w:t>
            </w:r>
          </w:p>
        </w:tc>
      </w:tr>
      <w:tr w:rsidR="00F56D75" w:rsidRPr="00F56D75" w14:paraId="42A7BBC9" w14:textId="77777777" w:rsidTr="00F56D75">
        <w:trPr>
          <w:trHeight w:val="249"/>
          <w:jc w:val="center"/>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09F20FE9"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High-Risk State Small Water Systems</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265915D8"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0</w:t>
            </w:r>
          </w:p>
        </w:tc>
      </w:tr>
      <w:tr w:rsidR="00F56D75" w:rsidRPr="00F56D75" w14:paraId="01E3C242" w14:textId="77777777" w:rsidTr="00F56D75">
        <w:trPr>
          <w:trHeight w:val="249"/>
          <w:jc w:val="center"/>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37DBF054"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Total State Small Water Systems</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0B9F85FC"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0</w:t>
            </w:r>
          </w:p>
        </w:tc>
      </w:tr>
      <w:tr w:rsidR="00F56D75" w:rsidRPr="00F56D75" w14:paraId="7AE2CB1B" w14:textId="77777777" w:rsidTr="00F56D75">
        <w:trPr>
          <w:trHeight w:val="249"/>
          <w:jc w:val="center"/>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19A009D0"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Median Household Income (2018 ACS)</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2BA52E02"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51354</w:t>
            </w:r>
          </w:p>
        </w:tc>
      </w:tr>
      <w:tr w:rsidR="00F56D75" w:rsidRPr="00F56D75" w14:paraId="0FFDB310" w14:textId="77777777" w:rsidTr="00F56D75">
        <w:trPr>
          <w:trHeight w:val="249"/>
          <w:jc w:val="center"/>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6996B67A"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DAC/SDAC status</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55E36745"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DAC</w:t>
            </w:r>
          </w:p>
        </w:tc>
      </w:tr>
      <w:tr w:rsidR="00F56D75" w:rsidRPr="00F56D75" w14:paraId="234355CA" w14:textId="77777777" w:rsidTr="00F56D75">
        <w:trPr>
          <w:trHeight w:val="249"/>
          <w:jc w:val="center"/>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12CB1CFF"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DWR Drought Risk Score</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15240E3F"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48.85</w:t>
            </w:r>
          </w:p>
        </w:tc>
      </w:tr>
      <w:tr w:rsidR="00F56D75" w:rsidRPr="00F56D75" w14:paraId="39D7B1A1" w14:textId="77777777" w:rsidTr="00F56D75">
        <w:trPr>
          <w:trHeight w:val="249"/>
          <w:jc w:val="center"/>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693EE41F"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Total Population</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2CC26CE1"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1036</w:t>
            </w:r>
          </w:p>
        </w:tc>
      </w:tr>
      <w:tr w:rsidR="00F56D75" w:rsidRPr="00F56D75" w14:paraId="22CB03DC" w14:textId="77777777" w:rsidTr="00F56D75">
        <w:trPr>
          <w:trHeight w:val="249"/>
          <w:jc w:val="center"/>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22C648AE"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Hispanic</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2BDEF0DC"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301</w:t>
            </w:r>
          </w:p>
        </w:tc>
      </w:tr>
      <w:tr w:rsidR="00F56D75" w:rsidRPr="00F56D75" w14:paraId="11966217" w14:textId="77777777" w:rsidTr="00F56D75">
        <w:trPr>
          <w:trHeight w:val="249"/>
          <w:jc w:val="center"/>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615FE3E4"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White</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36B67AEB"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465</w:t>
            </w:r>
          </w:p>
        </w:tc>
      </w:tr>
      <w:tr w:rsidR="00F56D75" w:rsidRPr="00F56D75" w14:paraId="47A8A89D" w14:textId="77777777" w:rsidTr="00F56D75">
        <w:trPr>
          <w:trHeight w:val="249"/>
          <w:jc w:val="center"/>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513DC23A"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Black</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49511BE9"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39</w:t>
            </w:r>
          </w:p>
        </w:tc>
      </w:tr>
      <w:tr w:rsidR="00F56D75" w:rsidRPr="00F56D75" w14:paraId="70F55633" w14:textId="77777777" w:rsidTr="00F56D75">
        <w:trPr>
          <w:trHeight w:val="249"/>
          <w:jc w:val="center"/>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2C596940"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American Indian/Native American</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7D278A66"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7</w:t>
            </w:r>
          </w:p>
        </w:tc>
      </w:tr>
      <w:tr w:rsidR="00F56D75" w:rsidRPr="00F56D75" w14:paraId="03F58E91" w14:textId="77777777" w:rsidTr="00F56D75">
        <w:trPr>
          <w:trHeight w:val="249"/>
          <w:jc w:val="center"/>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0EF8D924"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Asian</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7BAF023B"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144</w:t>
            </w:r>
          </w:p>
        </w:tc>
      </w:tr>
      <w:tr w:rsidR="00F56D75" w:rsidRPr="00F56D75" w14:paraId="466D6767" w14:textId="77777777" w:rsidTr="00F56D75">
        <w:trPr>
          <w:trHeight w:val="249"/>
          <w:jc w:val="center"/>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7E6B1156"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Native Hawaiian/Pacific Islander</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6C850713" w14:textId="77777777"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16</w:t>
            </w:r>
          </w:p>
        </w:tc>
      </w:tr>
      <w:tr w:rsidR="00F56D75" w:rsidRPr="00F56D75" w14:paraId="722A7B16" w14:textId="77777777" w:rsidTr="00F56D75">
        <w:trPr>
          <w:trHeight w:val="249"/>
          <w:jc w:val="center"/>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6E24ABDD" w14:textId="1C2CC762" w:rsidR="00F56D75" w:rsidRPr="00F56D75" w:rsidRDefault="00F56D75" w:rsidP="00F56D75">
            <w:pPr>
              <w:spacing w:after="0" w:line="240" w:lineRule="auto"/>
              <w:rPr>
                <w:rFonts w:ascii="Arial" w:eastAsia="Times New Roman" w:hAnsi="Arial" w:cs="Arial"/>
              </w:rPr>
            </w:pPr>
            <w:r w:rsidRPr="00F56D75">
              <w:rPr>
                <w:rFonts w:ascii="Calibri" w:eastAsia="Times New Roman" w:hAnsi="Calibri" w:cs="Calibri"/>
                <w:color w:val="000000"/>
                <w:kern w:val="24"/>
              </w:rPr>
              <w:t>Other</w:t>
            </w:r>
            <w:r>
              <w:rPr>
                <w:rFonts w:ascii="Calibri" w:eastAsia="Times New Roman" w:hAnsi="Calibri" w:cs="Calibri"/>
                <w:color w:val="000000"/>
                <w:kern w:val="24"/>
              </w:rPr>
              <w:t>/Multiple</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14:paraId="0FE22823" w14:textId="7912FE52" w:rsidR="00F56D75" w:rsidRPr="00F56D75" w:rsidRDefault="00F56D75" w:rsidP="00F56D75">
            <w:pPr>
              <w:spacing w:after="0" w:line="240" w:lineRule="auto"/>
              <w:rPr>
                <w:rFonts w:ascii="Arial" w:eastAsia="Times New Roman" w:hAnsi="Arial" w:cs="Arial"/>
              </w:rPr>
            </w:pPr>
            <w:r>
              <w:rPr>
                <w:rFonts w:ascii="Calibri" w:eastAsia="Times New Roman" w:hAnsi="Calibri" w:cs="Calibri"/>
                <w:color w:val="000000"/>
                <w:kern w:val="24"/>
              </w:rPr>
              <w:t>64</w:t>
            </w:r>
          </w:p>
        </w:tc>
      </w:tr>
    </w:tbl>
    <w:p w14:paraId="7C1E883A" w14:textId="729C7B24" w:rsidR="00F56D75" w:rsidRPr="00CE5151" w:rsidRDefault="00F56D75" w:rsidP="00F56D75">
      <w:pPr>
        <w:pStyle w:val="Caption"/>
        <w:jc w:val="center"/>
      </w:pPr>
      <w:r>
        <w:t xml:space="preserve">Figure </w:t>
      </w:r>
      <w:fldSimple w:instr=" SEQ Figure \* ARABIC ">
        <w:r>
          <w:rPr>
            <w:noProof/>
          </w:rPr>
          <w:t>3</w:t>
        </w:r>
      </w:fldSimple>
      <w:r>
        <w:t>. Example of data displayed in the census block group data layer.</w:t>
      </w:r>
    </w:p>
    <w:p w14:paraId="7EE18070" w14:textId="25B9E949" w:rsidR="00FA5CB0" w:rsidRDefault="00CE5151" w:rsidP="00CE5151">
      <w:pPr>
        <w:pStyle w:val="ListParagraph"/>
        <w:numPr>
          <w:ilvl w:val="0"/>
          <w:numId w:val="8"/>
        </w:numPr>
      </w:pPr>
      <w:r>
        <w:t>Domestic well weighting (emphasizing data from sampled domestic wells) was considered but is not proposed as an update at this time. Increasing the influence of domestic well water quality results on section water quality estimates did not improve map accuracy according to the comparison with 2020 ILRP nitrate data. Furthermore, weighting data from domestic wells did not result in any change to the statewide counts of “high”, “medium”, and “low” risk domestic wells or state small water system.</w:t>
      </w:r>
    </w:p>
    <w:p w14:paraId="705B110F" w14:textId="77777777" w:rsidR="006F502F" w:rsidRDefault="006F502F" w:rsidP="006F502F">
      <w:pPr>
        <w:pStyle w:val="Heading1"/>
      </w:pPr>
      <w:r>
        <w:lastRenderedPageBreak/>
        <w:t>Aquifer Risk Map Accuracy – Comparison with sampled domestic wells</w:t>
      </w:r>
    </w:p>
    <w:p w14:paraId="6837641E" w14:textId="3353133B" w:rsidR="006F502F" w:rsidRDefault="006F502F" w:rsidP="006F502F">
      <w:r>
        <w:t>The estimated nitrate water quality was compared to actual domestic well nitrate data collected through the Irrigated Lands Regulatory Program (ILRP) from September 2020 through May 2021</w:t>
      </w:r>
      <w:r w:rsidRPr="001D2D29">
        <w:t xml:space="preserve"> </w:t>
      </w:r>
      <w:r>
        <w:t>to assess the accuracy of the 2020 risk map. These ILRP nitrate results were not used to calculate the 2020 Aquifer Risk Map water quality risk estimates. As a result, these ILRP results provide a control group for comparing to the predicted water quality in the 2020 Aquifer Risk Map. For 74% (1,267) of ILRP samples the 2020 Aquifer Risk Map accurately estimated the ILRP nitrate results or was close to estimating the ILRP nitrate results. For 15% (258) of ILRP samples the 2020 Aquifer Risk Map estimated a “high” nitrate risk when the sampled result was “low” and for 11% (185) of ILRP samples the 2020 Aquifer Risk Map estimated a “low” nitrate risk when the sampled results was “high”.</w:t>
      </w:r>
    </w:p>
    <w:p w14:paraId="65B7EDD5" w14:textId="0065E10B" w:rsidR="00647192" w:rsidRDefault="00647192" w:rsidP="00647192">
      <w:pPr>
        <w:pStyle w:val="Heading1"/>
      </w:pPr>
      <w:r>
        <w:t xml:space="preserve">Aquifer Risk Map </w:t>
      </w:r>
      <w:r>
        <w:t>2021-2022 analysis</w:t>
      </w:r>
    </w:p>
    <w:p w14:paraId="1BE18608" w14:textId="4DFD8351" w:rsidR="00647192" w:rsidRPr="00647192" w:rsidRDefault="00647192" w:rsidP="00647192">
      <w:pPr>
        <w:jc w:val="center"/>
      </w:pPr>
      <w:r>
        <w:rPr>
          <w:noProof/>
        </w:rPr>
        <w:drawing>
          <wp:inline distT="0" distB="0" distL="0" distR="0" wp14:anchorId="3F223CF2" wp14:editId="7AD960DC">
            <wp:extent cx="4486275" cy="429994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5053" cy="4317943"/>
                    </a:xfrm>
                    <a:prstGeom prst="rect">
                      <a:avLst/>
                    </a:prstGeom>
                    <a:noFill/>
                    <a:ln>
                      <a:noFill/>
                    </a:ln>
                  </pic:spPr>
                </pic:pic>
              </a:graphicData>
            </a:graphic>
          </wp:inline>
        </w:drawing>
      </w:r>
    </w:p>
    <w:p w14:paraId="1515961A" w14:textId="77777777" w:rsidR="00647192" w:rsidRDefault="00647192" w:rsidP="006F502F"/>
    <w:sectPr w:rsidR="006471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06A27"/>
    <w:multiLevelType w:val="hybridMultilevel"/>
    <w:tmpl w:val="2B049D8E"/>
    <w:lvl w:ilvl="0" w:tplc="C4E627D2">
      <w:start w:val="19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131B8B"/>
    <w:multiLevelType w:val="hybridMultilevel"/>
    <w:tmpl w:val="6012E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9D744F"/>
    <w:multiLevelType w:val="hybridMultilevel"/>
    <w:tmpl w:val="0BEA83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EA164B"/>
    <w:multiLevelType w:val="hybridMultilevel"/>
    <w:tmpl w:val="D1507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A13D76"/>
    <w:multiLevelType w:val="hybridMultilevel"/>
    <w:tmpl w:val="1482FE7E"/>
    <w:lvl w:ilvl="0" w:tplc="132AB826">
      <w:start w:val="2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E2232B"/>
    <w:multiLevelType w:val="hybridMultilevel"/>
    <w:tmpl w:val="87F09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AC236A"/>
    <w:multiLevelType w:val="hybridMultilevel"/>
    <w:tmpl w:val="87F09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135A46"/>
    <w:multiLevelType w:val="hybridMultilevel"/>
    <w:tmpl w:val="D0887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2"/>
  </w:num>
  <w:num w:numId="5">
    <w:abstractNumId w:val="6"/>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928"/>
    <w:rsid w:val="00033E5F"/>
    <w:rsid w:val="00071219"/>
    <w:rsid w:val="00077239"/>
    <w:rsid w:val="00112650"/>
    <w:rsid w:val="00125118"/>
    <w:rsid w:val="00145122"/>
    <w:rsid w:val="001970DA"/>
    <w:rsid w:val="001A2EBB"/>
    <w:rsid w:val="001D2D29"/>
    <w:rsid w:val="001E4636"/>
    <w:rsid w:val="001E5F22"/>
    <w:rsid w:val="00242893"/>
    <w:rsid w:val="00242D33"/>
    <w:rsid w:val="00246CA9"/>
    <w:rsid w:val="00261BF5"/>
    <w:rsid w:val="00283BB3"/>
    <w:rsid w:val="002A7619"/>
    <w:rsid w:val="002B01CE"/>
    <w:rsid w:val="002F33BB"/>
    <w:rsid w:val="003000F1"/>
    <w:rsid w:val="00303423"/>
    <w:rsid w:val="00304FB4"/>
    <w:rsid w:val="003216C0"/>
    <w:rsid w:val="0032356C"/>
    <w:rsid w:val="003703E2"/>
    <w:rsid w:val="00392909"/>
    <w:rsid w:val="003965B6"/>
    <w:rsid w:val="003A1078"/>
    <w:rsid w:val="003A6FD7"/>
    <w:rsid w:val="003E2572"/>
    <w:rsid w:val="00461F90"/>
    <w:rsid w:val="00494D9B"/>
    <w:rsid w:val="004B6B3B"/>
    <w:rsid w:val="004E0146"/>
    <w:rsid w:val="00514743"/>
    <w:rsid w:val="00557DC8"/>
    <w:rsid w:val="005A7778"/>
    <w:rsid w:val="00647192"/>
    <w:rsid w:val="00687CE5"/>
    <w:rsid w:val="006A050A"/>
    <w:rsid w:val="006B1FBE"/>
    <w:rsid w:val="006E4CFA"/>
    <w:rsid w:val="006F502F"/>
    <w:rsid w:val="00706FD6"/>
    <w:rsid w:val="00771D67"/>
    <w:rsid w:val="007750A4"/>
    <w:rsid w:val="00791C82"/>
    <w:rsid w:val="007B2186"/>
    <w:rsid w:val="007D3442"/>
    <w:rsid w:val="00826CCE"/>
    <w:rsid w:val="00830987"/>
    <w:rsid w:val="00854EF5"/>
    <w:rsid w:val="00876150"/>
    <w:rsid w:val="0089349F"/>
    <w:rsid w:val="008B438B"/>
    <w:rsid w:val="008C6137"/>
    <w:rsid w:val="009477F5"/>
    <w:rsid w:val="009575B0"/>
    <w:rsid w:val="00984E33"/>
    <w:rsid w:val="00A173EA"/>
    <w:rsid w:val="00A21E9E"/>
    <w:rsid w:val="00A35F7F"/>
    <w:rsid w:val="00AD7F40"/>
    <w:rsid w:val="00B148D8"/>
    <w:rsid w:val="00B25CAD"/>
    <w:rsid w:val="00B31070"/>
    <w:rsid w:val="00B634A7"/>
    <w:rsid w:val="00B73FDE"/>
    <w:rsid w:val="00BB5D3E"/>
    <w:rsid w:val="00BB6ED9"/>
    <w:rsid w:val="00BC31D4"/>
    <w:rsid w:val="00C2511F"/>
    <w:rsid w:val="00C54D44"/>
    <w:rsid w:val="00C74ECF"/>
    <w:rsid w:val="00C776E9"/>
    <w:rsid w:val="00CA14D7"/>
    <w:rsid w:val="00CB52FB"/>
    <w:rsid w:val="00CE1169"/>
    <w:rsid w:val="00CE5151"/>
    <w:rsid w:val="00D22B86"/>
    <w:rsid w:val="00D32963"/>
    <w:rsid w:val="00D34B4F"/>
    <w:rsid w:val="00D61C54"/>
    <w:rsid w:val="00D7411D"/>
    <w:rsid w:val="00DB69FE"/>
    <w:rsid w:val="00DC71F9"/>
    <w:rsid w:val="00DD6AB0"/>
    <w:rsid w:val="00E10F97"/>
    <w:rsid w:val="00E2394F"/>
    <w:rsid w:val="00E30E34"/>
    <w:rsid w:val="00EB36FC"/>
    <w:rsid w:val="00EF0B24"/>
    <w:rsid w:val="00F008C1"/>
    <w:rsid w:val="00F232FB"/>
    <w:rsid w:val="00F27A1E"/>
    <w:rsid w:val="00F41833"/>
    <w:rsid w:val="00F42B2C"/>
    <w:rsid w:val="00F5464C"/>
    <w:rsid w:val="00F56D75"/>
    <w:rsid w:val="00F905C6"/>
    <w:rsid w:val="00FA5CB0"/>
    <w:rsid w:val="00FD0928"/>
    <w:rsid w:val="00FF5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68E25"/>
  <w15:chartTrackingRefBased/>
  <w15:docId w15:val="{B7E38E45-3FCF-4951-8209-37297F5B3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2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928"/>
    <w:pPr>
      <w:ind w:left="720"/>
      <w:contextualSpacing/>
    </w:pPr>
  </w:style>
  <w:style w:type="paragraph" w:styleId="Title">
    <w:name w:val="Title"/>
    <w:basedOn w:val="Normal"/>
    <w:next w:val="Normal"/>
    <w:link w:val="TitleChar"/>
    <w:uiPriority w:val="10"/>
    <w:qFormat/>
    <w:rsid w:val="00CB52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52F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B52FB"/>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06F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2356C"/>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B01CE"/>
    <w:rPr>
      <w:sz w:val="16"/>
      <w:szCs w:val="16"/>
    </w:rPr>
  </w:style>
  <w:style w:type="paragraph" w:styleId="CommentText">
    <w:name w:val="annotation text"/>
    <w:basedOn w:val="Normal"/>
    <w:link w:val="CommentTextChar"/>
    <w:uiPriority w:val="99"/>
    <w:semiHidden/>
    <w:unhideWhenUsed/>
    <w:rsid w:val="002B01CE"/>
    <w:pPr>
      <w:spacing w:line="240" w:lineRule="auto"/>
    </w:pPr>
    <w:rPr>
      <w:sz w:val="20"/>
      <w:szCs w:val="20"/>
    </w:rPr>
  </w:style>
  <w:style w:type="character" w:customStyle="1" w:styleId="CommentTextChar">
    <w:name w:val="Comment Text Char"/>
    <w:basedOn w:val="DefaultParagraphFont"/>
    <w:link w:val="CommentText"/>
    <w:uiPriority w:val="99"/>
    <w:semiHidden/>
    <w:rsid w:val="002B01CE"/>
    <w:rPr>
      <w:sz w:val="20"/>
      <w:szCs w:val="20"/>
    </w:rPr>
  </w:style>
  <w:style w:type="paragraph" w:styleId="CommentSubject">
    <w:name w:val="annotation subject"/>
    <w:basedOn w:val="CommentText"/>
    <w:next w:val="CommentText"/>
    <w:link w:val="CommentSubjectChar"/>
    <w:uiPriority w:val="99"/>
    <w:semiHidden/>
    <w:unhideWhenUsed/>
    <w:rsid w:val="002B01CE"/>
    <w:rPr>
      <w:b/>
      <w:bCs/>
    </w:rPr>
  </w:style>
  <w:style w:type="character" w:customStyle="1" w:styleId="CommentSubjectChar">
    <w:name w:val="Comment Subject Char"/>
    <w:basedOn w:val="CommentTextChar"/>
    <w:link w:val="CommentSubject"/>
    <w:uiPriority w:val="99"/>
    <w:semiHidden/>
    <w:rsid w:val="002B01CE"/>
    <w:rPr>
      <w:b/>
      <w:bCs/>
      <w:sz w:val="20"/>
      <w:szCs w:val="20"/>
    </w:rPr>
  </w:style>
  <w:style w:type="paragraph" w:styleId="BalloonText">
    <w:name w:val="Balloon Text"/>
    <w:basedOn w:val="Normal"/>
    <w:link w:val="BalloonTextChar"/>
    <w:uiPriority w:val="99"/>
    <w:semiHidden/>
    <w:unhideWhenUsed/>
    <w:rsid w:val="002B01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01CE"/>
    <w:rPr>
      <w:rFonts w:ascii="Segoe UI" w:hAnsi="Segoe UI" w:cs="Segoe UI"/>
      <w:sz w:val="18"/>
      <w:szCs w:val="18"/>
    </w:rPr>
  </w:style>
  <w:style w:type="character" w:styleId="Hyperlink">
    <w:name w:val="Hyperlink"/>
    <w:basedOn w:val="DefaultParagraphFont"/>
    <w:uiPriority w:val="99"/>
    <w:unhideWhenUsed/>
    <w:rsid w:val="001E5F22"/>
    <w:rPr>
      <w:color w:val="0563C1" w:themeColor="hyperlink"/>
      <w:u w:val="single"/>
    </w:rPr>
  </w:style>
  <w:style w:type="character" w:styleId="UnresolvedMention">
    <w:name w:val="Unresolved Mention"/>
    <w:basedOn w:val="DefaultParagraphFont"/>
    <w:uiPriority w:val="99"/>
    <w:semiHidden/>
    <w:unhideWhenUsed/>
    <w:rsid w:val="001E5F22"/>
    <w:rPr>
      <w:color w:val="605E5C"/>
      <w:shd w:val="clear" w:color="auto" w:fill="E1DFDD"/>
    </w:rPr>
  </w:style>
  <w:style w:type="character" w:styleId="PlaceholderText">
    <w:name w:val="Placeholder Text"/>
    <w:basedOn w:val="DefaultParagraphFont"/>
    <w:uiPriority w:val="99"/>
    <w:semiHidden/>
    <w:rsid w:val="00F232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002686">
      <w:bodyDiv w:val="1"/>
      <w:marLeft w:val="0"/>
      <w:marRight w:val="0"/>
      <w:marTop w:val="0"/>
      <w:marBottom w:val="0"/>
      <w:divBdr>
        <w:top w:val="none" w:sz="0" w:space="0" w:color="auto"/>
        <w:left w:val="none" w:sz="0" w:space="0" w:color="auto"/>
        <w:bottom w:val="none" w:sz="0" w:space="0" w:color="auto"/>
        <w:right w:val="none" w:sz="0" w:space="0" w:color="auto"/>
      </w:divBdr>
    </w:div>
    <w:div w:id="169874419">
      <w:bodyDiv w:val="1"/>
      <w:marLeft w:val="0"/>
      <w:marRight w:val="0"/>
      <w:marTop w:val="0"/>
      <w:marBottom w:val="0"/>
      <w:divBdr>
        <w:top w:val="none" w:sz="0" w:space="0" w:color="auto"/>
        <w:left w:val="none" w:sz="0" w:space="0" w:color="auto"/>
        <w:bottom w:val="none" w:sz="0" w:space="0" w:color="auto"/>
        <w:right w:val="none" w:sz="0" w:space="0" w:color="auto"/>
      </w:divBdr>
    </w:div>
    <w:div w:id="285506282">
      <w:bodyDiv w:val="1"/>
      <w:marLeft w:val="0"/>
      <w:marRight w:val="0"/>
      <w:marTop w:val="0"/>
      <w:marBottom w:val="0"/>
      <w:divBdr>
        <w:top w:val="none" w:sz="0" w:space="0" w:color="auto"/>
        <w:left w:val="none" w:sz="0" w:space="0" w:color="auto"/>
        <w:bottom w:val="none" w:sz="0" w:space="0" w:color="auto"/>
        <w:right w:val="none" w:sz="0" w:space="0" w:color="auto"/>
      </w:divBdr>
    </w:div>
    <w:div w:id="291326618">
      <w:bodyDiv w:val="1"/>
      <w:marLeft w:val="0"/>
      <w:marRight w:val="0"/>
      <w:marTop w:val="0"/>
      <w:marBottom w:val="0"/>
      <w:divBdr>
        <w:top w:val="none" w:sz="0" w:space="0" w:color="auto"/>
        <w:left w:val="none" w:sz="0" w:space="0" w:color="auto"/>
        <w:bottom w:val="none" w:sz="0" w:space="0" w:color="auto"/>
        <w:right w:val="none" w:sz="0" w:space="0" w:color="auto"/>
      </w:divBdr>
    </w:div>
    <w:div w:id="397483502">
      <w:bodyDiv w:val="1"/>
      <w:marLeft w:val="0"/>
      <w:marRight w:val="0"/>
      <w:marTop w:val="0"/>
      <w:marBottom w:val="0"/>
      <w:divBdr>
        <w:top w:val="none" w:sz="0" w:space="0" w:color="auto"/>
        <w:left w:val="none" w:sz="0" w:space="0" w:color="auto"/>
        <w:bottom w:val="none" w:sz="0" w:space="0" w:color="auto"/>
        <w:right w:val="none" w:sz="0" w:space="0" w:color="auto"/>
      </w:divBdr>
    </w:div>
    <w:div w:id="486433875">
      <w:bodyDiv w:val="1"/>
      <w:marLeft w:val="0"/>
      <w:marRight w:val="0"/>
      <w:marTop w:val="0"/>
      <w:marBottom w:val="0"/>
      <w:divBdr>
        <w:top w:val="none" w:sz="0" w:space="0" w:color="auto"/>
        <w:left w:val="none" w:sz="0" w:space="0" w:color="auto"/>
        <w:bottom w:val="none" w:sz="0" w:space="0" w:color="auto"/>
        <w:right w:val="none" w:sz="0" w:space="0" w:color="auto"/>
      </w:divBdr>
    </w:div>
    <w:div w:id="537400853">
      <w:bodyDiv w:val="1"/>
      <w:marLeft w:val="0"/>
      <w:marRight w:val="0"/>
      <w:marTop w:val="0"/>
      <w:marBottom w:val="0"/>
      <w:divBdr>
        <w:top w:val="none" w:sz="0" w:space="0" w:color="auto"/>
        <w:left w:val="none" w:sz="0" w:space="0" w:color="auto"/>
        <w:bottom w:val="none" w:sz="0" w:space="0" w:color="auto"/>
        <w:right w:val="none" w:sz="0" w:space="0" w:color="auto"/>
      </w:divBdr>
    </w:div>
    <w:div w:id="640811868">
      <w:bodyDiv w:val="1"/>
      <w:marLeft w:val="0"/>
      <w:marRight w:val="0"/>
      <w:marTop w:val="0"/>
      <w:marBottom w:val="0"/>
      <w:divBdr>
        <w:top w:val="none" w:sz="0" w:space="0" w:color="auto"/>
        <w:left w:val="none" w:sz="0" w:space="0" w:color="auto"/>
        <w:bottom w:val="none" w:sz="0" w:space="0" w:color="auto"/>
        <w:right w:val="none" w:sz="0" w:space="0" w:color="auto"/>
      </w:divBdr>
    </w:div>
    <w:div w:id="782115558">
      <w:bodyDiv w:val="1"/>
      <w:marLeft w:val="0"/>
      <w:marRight w:val="0"/>
      <w:marTop w:val="0"/>
      <w:marBottom w:val="0"/>
      <w:divBdr>
        <w:top w:val="none" w:sz="0" w:space="0" w:color="auto"/>
        <w:left w:val="none" w:sz="0" w:space="0" w:color="auto"/>
        <w:bottom w:val="none" w:sz="0" w:space="0" w:color="auto"/>
        <w:right w:val="none" w:sz="0" w:space="0" w:color="auto"/>
      </w:divBdr>
    </w:div>
    <w:div w:id="1097484825">
      <w:bodyDiv w:val="1"/>
      <w:marLeft w:val="0"/>
      <w:marRight w:val="0"/>
      <w:marTop w:val="0"/>
      <w:marBottom w:val="0"/>
      <w:divBdr>
        <w:top w:val="none" w:sz="0" w:space="0" w:color="auto"/>
        <w:left w:val="none" w:sz="0" w:space="0" w:color="auto"/>
        <w:bottom w:val="none" w:sz="0" w:space="0" w:color="auto"/>
        <w:right w:val="none" w:sz="0" w:space="0" w:color="auto"/>
      </w:divBdr>
    </w:div>
    <w:div w:id="1110666477">
      <w:bodyDiv w:val="1"/>
      <w:marLeft w:val="0"/>
      <w:marRight w:val="0"/>
      <w:marTop w:val="0"/>
      <w:marBottom w:val="0"/>
      <w:divBdr>
        <w:top w:val="none" w:sz="0" w:space="0" w:color="auto"/>
        <w:left w:val="none" w:sz="0" w:space="0" w:color="auto"/>
        <w:bottom w:val="none" w:sz="0" w:space="0" w:color="auto"/>
        <w:right w:val="none" w:sz="0" w:space="0" w:color="auto"/>
      </w:divBdr>
    </w:div>
    <w:div w:id="1159267416">
      <w:bodyDiv w:val="1"/>
      <w:marLeft w:val="0"/>
      <w:marRight w:val="0"/>
      <w:marTop w:val="0"/>
      <w:marBottom w:val="0"/>
      <w:divBdr>
        <w:top w:val="none" w:sz="0" w:space="0" w:color="auto"/>
        <w:left w:val="none" w:sz="0" w:space="0" w:color="auto"/>
        <w:bottom w:val="none" w:sz="0" w:space="0" w:color="auto"/>
        <w:right w:val="none" w:sz="0" w:space="0" w:color="auto"/>
      </w:divBdr>
    </w:div>
    <w:div w:id="1272274019">
      <w:bodyDiv w:val="1"/>
      <w:marLeft w:val="0"/>
      <w:marRight w:val="0"/>
      <w:marTop w:val="0"/>
      <w:marBottom w:val="0"/>
      <w:divBdr>
        <w:top w:val="none" w:sz="0" w:space="0" w:color="auto"/>
        <w:left w:val="none" w:sz="0" w:space="0" w:color="auto"/>
        <w:bottom w:val="none" w:sz="0" w:space="0" w:color="auto"/>
        <w:right w:val="none" w:sz="0" w:space="0" w:color="auto"/>
      </w:divBdr>
    </w:div>
    <w:div w:id="1639141054">
      <w:bodyDiv w:val="1"/>
      <w:marLeft w:val="0"/>
      <w:marRight w:val="0"/>
      <w:marTop w:val="0"/>
      <w:marBottom w:val="0"/>
      <w:divBdr>
        <w:top w:val="none" w:sz="0" w:space="0" w:color="auto"/>
        <w:left w:val="none" w:sz="0" w:space="0" w:color="auto"/>
        <w:bottom w:val="none" w:sz="0" w:space="0" w:color="auto"/>
        <w:right w:val="none" w:sz="0" w:space="0" w:color="auto"/>
      </w:divBdr>
    </w:div>
    <w:div w:id="1754158982">
      <w:bodyDiv w:val="1"/>
      <w:marLeft w:val="0"/>
      <w:marRight w:val="0"/>
      <w:marTop w:val="0"/>
      <w:marBottom w:val="0"/>
      <w:divBdr>
        <w:top w:val="none" w:sz="0" w:space="0" w:color="auto"/>
        <w:left w:val="none" w:sz="0" w:space="0" w:color="auto"/>
        <w:bottom w:val="none" w:sz="0" w:space="0" w:color="auto"/>
        <w:right w:val="none" w:sz="0" w:space="0" w:color="auto"/>
      </w:divBdr>
    </w:div>
    <w:div w:id="1988165921">
      <w:bodyDiv w:val="1"/>
      <w:marLeft w:val="0"/>
      <w:marRight w:val="0"/>
      <w:marTop w:val="0"/>
      <w:marBottom w:val="0"/>
      <w:divBdr>
        <w:top w:val="none" w:sz="0" w:space="0" w:color="auto"/>
        <w:left w:val="none" w:sz="0" w:space="0" w:color="auto"/>
        <w:bottom w:val="none" w:sz="0" w:space="0" w:color="auto"/>
        <w:right w:val="none" w:sz="0" w:space="0" w:color="auto"/>
      </w:divBdr>
    </w:div>
    <w:div w:id="2077392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bleau.cnra.ca.gov/t/DWR_IntegratedDataAnalysisBranch/views/DWRDroughtRiskExplorer-RuralCommunitesMarch2021/Dashboard?%3AshowAppBanner=false&amp;%3Adisplay_count=n&amp;%3AshowVizHome=n&amp;%3Aorigin=viz_share_link&amp;%3AisGuestRedirectFromVizportal=y&amp;%3Aembed=y"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spublic.waterboards.ca.gov/portal/apps/webappviewer/index.html?id=17825b2b791d4004b547d316af7ac5cb" TargetMode="Externa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49C96-C65C-4C06-AE34-20BD2621B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7</Pages>
  <Words>1775</Words>
  <Characters>10124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SWRCB</Company>
  <LinksUpToDate>false</LinksUpToDate>
  <CharactersWithSpaces>11876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Houlihan, Emily@Waterboards</dc:creator>
  <cp:keywords/>
  <dc:description/>
  <cp:lastModifiedBy>Houlihan, Emily@Waterboards</cp:lastModifiedBy>
  <cp:revision>9</cp:revision>
  <dcterms:created xsi:type="dcterms:W3CDTF">2021-09-13T23:36:00Z</dcterms:created>
  <dcterms:modified xsi:type="dcterms:W3CDTF">2021-10-08T16:50:00Z</dcterms:modified>
</cp:coreProperties>
</file>