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89" w:rsidRDefault="00B93789" w:rsidP="00B93789">
      <w:pPr>
        <w:pStyle w:val="Title"/>
      </w:pPr>
      <w:r>
        <w:t>Results of the 2022 eastern and northern Bering Sea continental shelf bottom trawl survey of groundfish and invertebrate fauna</w:t>
      </w:r>
    </w:p>
    <w:p w:rsidR="00B93789" w:rsidRDefault="00B93789" w:rsidP="00B93789">
      <w:pPr>
        <w:pStyle w:val="Date"/>
      </w:pPr>
      <w:bookmarkStart w:id="0" w:name="_Hlk122451403"/>
      <w:bookmarkStart w:id="1" w:name="_GoBack"/>
      <w:r>
        <w:t xml:space="preserve">DRAFT: </w:t>
      </w:r>
      <w:r w:rsidRPr="00B93789">
        <w:t>December</w:t>
      </w:r>
      <w:r>
        <w:t xml:space="preserve"> 10, 2022</w:t>
      </w:r>
    </w:p>
    <w:bookmarkEnd w:id="0"/>
    <w:bookmarkEnd w:id="1"/>
    <w:p w:rsidR="0095501D" w:rsidRPr="00E64840" w:rsidRDefault="0095501D" w:rsidP="00E64840">
      <w:pPr>
        <w:pStyle w:val="Heading1"/>
      </w:pPr>
      <w:r w:rsidRPr="00E64840">
        <w:t>H1 Results and Discussion</w:t>
      </w:r>
    </w:p>
    <w:p w:rsidR="0095501D" w:rsidRDefault="0095501D" w:rsidP="00E64840">
      <w:pPr>
        <w:pStyle w:val="Heading2"/>
      </w:pPr>
      <w:r>
        <w:t xml:space="preserve">H2 </w:t>
      </w:r>
      <w:r w:rsidRPr="00B93789">
        <w:t>Ocean Temperatures and the Cold Pool</w:t>
      </w:r>
    </w:p>
    <w:p w:rsidR="0095501D" w:rsidRDefault="0095501D" w:rsidP="00E64840">
      <w:pPr>
        <w:pStyle w:val="Heading3"/>
      </w:pPr>
      <w:r>
        <w:t xml:space="preserve">H3 Selected </w:t>
      </w:r>
      <w:r w:rsidRPr="00E64840">
        <w:t>Invertebrates</w:t>
      </w:r>
      <w:r>
        <w:t xml:space="preserve"> Estimates</w:t>
      </w:r>
    </w:p>
    <w:p w:rsidR="0095501D" w:rsidRPr="0095501D" w:rsidRDefault="0095501D" w:rsidP="00D76B1F">
      <w:pPr>
        <w:pStyle w:val="Heading4"/>
      </w:pPr>
      <w:r w:rsidRPr="0095501D">
        <w:t xml:space="preserve">H4: </w:t>
      </w:r>
      <w:r w:rsidRPr="00D76B1F">
        <w:t>test</w:t>
      </w:r>
      <w:r w:rsidRPr="0095501D">
        <w:t xml:space="preserve"> </w:t>
      </w:r>
      <w:proofErr w:type="spellStart"/>
      <w:r w:rsidRPr="0095501D">
        <w:t>test</w:t>
      </w:r>
      <w:proofErr w:type="spellEnd"/>
    </w:p>
    <w:p w:rsidR="0095501D" w:rsidRPr="0095501D" w:rsidRDefault="0095501D" w:rsidP="0095501D">
      <w:pPr>
        <w:pStyle w:val="Heading5"/>
      </w:pPr>
      <w:r w:rsidRPr="0095501D">
        <w:t xml:space="preserve">H5: test </w:t>
      </w:r>
      <w:proofErr w:type="spellStart"/>
      <w:r w:rsidRPr="0095501D">
        <w:t>test</w:t>
      </w:r>
      <w:proofErr w:type="spellEnd"/>
    </w:p>
    <w:p w:rsidR="0095501D" w:rsidRPr="0095501D" w:rsidRDefault="0095501D" w:rsidP="0095501D">
      <w:pPr>
        <w:pStyle w:val="Heading6"/>
      </w:pPr>
      <w:r w:rsidRPr="0095501D">
        <w:t xml:space="preserve">H6: test </w:t>
      </w:r>
      <w:proofErr w:type="spellStart"/>
      <w:r w:rsidRPr="0095501D">
        <w:t>test</w:t>
      </w:r>
      <w:proofErr w:type="spellEnd"/>
    </w:p>
    <w:p w:rsidR="00B93789" w:rsidRDefault="00B93789" w:rsidP="00B93789">
      <w:pPr>
        <w:pStyle w:val="FirstParagraph"/>
      </w:pPr>
      <w:bookmarkStart w:id="2" w:name="_Hlk122451043"/>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B93789" w:rsidRDefault="00B93789" w:rsidP="00B93789">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6">
        <w:r>
          <w:rPr>
            <w:rStyle w:val="Hyperlink"/>
          </w:rPr>
          <w:t>https://www.fisheries.noaa.gov/alaska/socioeconomics/alaska-economic-</w:t>
        </w:r>
        <w:r w:rsidRPr="00B93789">
          <w:rPr>
            <w:rStyle w:val="Hyperlink"/>
          </w:rPr>
          <w:t>and</w:t>
        </w:r>
        <w:r>
          <w:rPr>
            <w:rStyle w:val="Hyperlink"/>
          </w:rPr>
          <w:t>-social-sciences-research</w:t>
        </w:r>
      </w:hyperlink>
      <w:r>
        <w:t xml:space="preserve">; </w:t>
      </w:r>
      <w:hyperlink r:id="rId7">
        <w:r>
          <w:rPr>
            <w:rStyle w:val="Hyperlink"/>
          </w:rPr>
          <w:t>https://www.fisheries.noaa.gov/national/sustainable-fisheries/fisheries-economics-united-states</w:t>
        </w:r>
      </w:hyperlink>
      <w:r>
        <w:t>).</w:t>
      </w:r>
    </w:p>
    <w:p w:rsidR="00B93789" w:rsidRDefault="00B93789" w:rsidP="00B93789">
      <w:pPr>
        <w:pStyle w:val="FirstParagraph"/>
      </w:pPr>
    </w:p>
    <w:p w:rsidR="00B93789" w:rsidRDefault="00B93789" w:rsidP="00B93789">
      <w:pPr>
        <w:pStyle w:val="BodyText"/>
      </w:pPr>
    </w:p>
    <w:p w:rsidR="00B93789" w:rsidRPr="00B93789" w:rsidRDefault="00B93789" w:rsidP="0026677D">
      <w:pPr>
        <w:pStyle w:val="TableCaption"/>
      </w:pPr>
      <w:r w:rsidRPr="00B93789">
        <w:lastRenderedPageBreak/>
        <w:t xml:space="preserve">Table </w:t>
      </w:r>
      <w:bookmarkStart w:id="3" w:name="tab-special-projects"/>
      <w:r w:rsidRPr="00B93789">
        <w:fldChar w:fldCharType="begin"/>
      </w:r>
      <w:r w:rsidRPr="00B93789">
        <w:instrText>SEQ tab \* Arabic</w:instrText>
      </w:r>
      <w:r w:rsidRPr="00B93789">
        <w:fldChar w:fldCharType="separate"/>
      </w:r>
      <w:r>
        <w:rPr>
          <w:noProof/>
        </w:rPr>
        <w:t>1</w:t>
      </w:r>
      <w:r w:rsidRPr="00B93789">
        <w:fldChar w:fldCharType="end"/>
      </w:r>
      <w:bookmarkEnd w:id="3"/>
      <w:r w:rsidRPr="00B93789">
        <w:t xml:space="preserve">.--  Special projects and collections undertaken during the </w:t>
      </w:r>
      <w:r w:rsidRPr="0095501D">
        <w:t>2022</w:t>
      </w:r>
      <w:r w:rsidRPr="00B93789">
        <w:t xml:space="preserve">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B93789" w:rsidTr="00D76B1F">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Agency</w:t>
            </w:r>
            <w:r>
              <w:rPr>
                <w:rFonts w:eastAsia="Arial Narrow" w:cs="Arial Narrow"/>
                <w:b/>
                <w:color w:val="000000"/>
                <w:sz w:val="20"/>
                <w:szCs w:val="20"/>
                <w:vertAlign w:val="superscript"/>
              </w:rPr>
              <w:t>1</w:t>
            </w:r>
          </w:p>
        </w:tc>
      </w:tr>
      <w:tr w:rsidR="00B93789" w:rsidTr="00D76B1F">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D76B1F">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AFSC-FMA</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Bianca </w:t>
            </w:r>
            <w:proofErr w:type="spellStart"/>
            <w:r>
              <w:rPr>
                <w:rFonts w:eastAsia="Arial Narrow" w:cs="Arial Narrow"/>
                <w:color w:val="000000"/>
                <w:sz w:val="20"/>
                <w:szCs w:val="20"/>
              </w:rP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Leah </w:t>
            </w:r>
            <w:proofErr w:type="spellStart"/>
            <w:r>
              <w:rPr>
                <w:rFonts w:eastAsia="Arial Narrow" w:cs="Arial Narrow"/>
                <w:color w:val="000000"/>
                <w:sz w:val="20"/>
                <w:szCs w:val="20"/>
              </w:rP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 &amp; NBS</w:t>
            </w:r>
          </w:p>
        </w:tc>
      </w:tr>
      <w:tr w:rsidR="00B93789" w:rsidTr="00D76B1F">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Cindy </w:t>
            </w:r>
            <w:proofErr w:type="spellStart"/>
            <w:r>
              <w:rPr>
                <w:rFonts w:eastAsia="Arial Narrow" w:cs="Arial Narrow"/>
                <w:color w:val="000000"/>
                <w:sz w:val="20"/>
                <w:szCs w:val="20"/>
              </w:rP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AFSC-ABL</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AFSC-MACE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Katie </w:t>
            </w:r>
            <w:proofErr w:type="spellStart"/>
            <w:r>
              <w:rPr>
                <w:rFonts w:eastAsia="Arial Narrow" w:cs="Arial Narrow"/>
                <w:color w:val="000000"/>
                <w:sz w:val="20"/>
                <w:szCs w:val="20"/>
              </w:rP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AFSC-MML</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Bianca </w:t>
            </w:r>
            <w:proofErr w:type="spellStart"/>
            <w:r>
              <w:rPr>
                <w:rFonts w:eastAsia="Arial Narrow" w:cs="Arial Narrow"/>
                <w:color w:val="000000"/>
                <w:sz w:val="20"/>
                <w:szCs w:val="20"/>
              </w:rP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 xml:space="preserve">Morphological and genetic identification of larval stages of </w:t>
            </w:r>
            <w:proofErr w:type="spellStart"/>
            <w:r>
              <w:rPr>
                <w:rFonts w:eastAsia="Arial Narrow" w:cs="Arial Narrow"/>
                <w:color w:val="000000"/>
                <w:sz w:val="20"/>
                <w:szCs w:val="20"/>
              </w:rPr>
              <w:t>sandlance</w:t>
            </w:r>
            <w:proofErr w:type="spellEnd"/>
            <w:r>
              <w:rPr>
                <w:rFonts w:eastAsia="Arial Narrow" w:cs="Arial Narrow"/>
                <w:color w:val="000000"/>
                <w:sz w:val="20"/>
                <w:szCs w:val="20"/>
              </w:rPr>
              <w:t xml:space="preserve"> species, </w:t>
            </w:r>
            <w:proofErr w:type="spellStart"/>
            <w:r>
              <w:rPr>
                <w:rFonts w:eastAsia="Arial Narrow" w:cs="Arial Narrow"/>
                <w:color w:val="000000"/>
                <w:sz w:val="20"/>
                <w:szCs w:val="20"/>
              </w:rPr>
              <w:t>Ammodytes</w:t>
            </w:r>
            <w:proofErr w:type="spellEnd"/>
            <w:r>
              <w:rPr>
                <w:rFonts w:eastAsia="Arial Narrow" w:cs="Arial Narrow"/>
                <w:color w:val="000000"/>
                <w:sz w:val="20"/>
                <w:szCs w:val="20"/>
              </w:rPr>
              <w:t xml:space="preserve"> </w:t>
            </w:r>
            <w:proofErr w:type="spellStart"/>
            <w:r>
              <w:rPr>
                <w:rFonts w:eastAsia="Arial Narrow" w:cs="Arial Narrow"/>
                <w:color w:val="000000"/>
                <w:sz w:val="20"/>
                <w:szCs w:val="20"/>
              </w:rPr>
              <w:t>hexapterus</w:t>
            </w:r>
            <w:proofErr w:type="spellEnd"/>
            <w:r>
              <w:rPr>
                <w:rFonts w:eastAsia="Arial Narrow" w:cs="Arial Narrow"/>
                <w:color w:val="000000"/>
                <w:sz w:val="20"/>
                <w:szCs w:val="20"/>
              </w:rPr>
              <w:t xml:space="preserve"> and A. </w:t>
            </w:r>
            <w:proofErr w:type="spellStart"/>
            <w:r>
              <w:rPr>
                <w:rFonts w:eastAsia="Arial Narrow" w:cs="Arial Narrow"/>
                <w:color w:val="000000"/>
                <w:sz w:val="20"/>
                <w:szCs w:val="20"/>
              </w:rP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Ned </w:t>
            </w:r>
            <w:proofErr w:type="spellStart"/>
            <w:r>
              <w:rPr>
                <w:rFonts w:eastAsia="Arial Narrow" w:cs="Arial Narrow"/>
                <w:color w:val="000000"/>
                <w:sz w:val="20"/>
                <w:szCs w:val="20"/>
              </w:rP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AFSC-REFM</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Tom </w:t>
            </w:r>
            <w:proofErr w:type="spellStart"/>
            <w:r>
              <w:rPr>
                <w:rFonts w:eastAsia="Arial Narrow" w:cs="Arial Narrow"/>
                <w:color w:val="000000"/>
                <w:sz w:val="20"/>
                <w:szCs w:val="20"/>
              </w:rP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AFSC-REFM</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Maya </w:t>
            </w:r>
            <w:proofErr w:type="spellStart"/>
            <w:r>
              <w:rPr>
                <w:rFonts w:eastAsia="Arial Narrow" w:cs="Arial Narrow"/>
                <w:color w:val="000000"/>
                <w:sz w:val="20"/>
                <w:szCs w:val="20"/>
              </w:rP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Bigelow Laboratory for Ocean Sciences</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Maya </w:t>
            </w:r>
            <w:proofErr w:type="spellStart"/>
            <w:r>
              <w:rPr>
                <w:rFonts w:eastAsia="Arial Narrow" w:cs="Arial Narrow"/>
                <w:color w:val="000000"/>
                <w:sz w:val="20"/>
                <w:szCs w:val="20"/>
              </w:rP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Bigelow Laboratory for Ocean Sciences</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Kayla </w:t>
            </w:r>
            <w:proofErr w:type="spellStart"/>
            <w:r>
              <w:rPr>
                <w:rFonts w:eastAsia="Arial Narrow" w:cs="Arial Narrow"/>
                <w:color w:val="000000"/>
                <w:sz w:val="20"/>
                <w:szCs w:val="20"/>
              </w:rP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IPHC</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NWFSC</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NWFSC + University of Washington Ichthyology Collection</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UAF</w:t>
            </w:r>
          </w:p>
        </w:tc>
      </w:tr>
      <w:tr w:rsidR="00B93789" w:rsidTr="00D76B1F">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University of Alaska Fairbanks</w:t>
            </w:r>
          </w:p>
        </w:tc>
      </w:tr>
      <w:tr w:rsidR="00B93789" w:rsidTr="00D76B1F">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D76B1F">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SBMNH &amp; LACMNH</w:t>
            </w:r>
          </w:p>
        </w:tc>
      </w:tr>
      <w:tr w:rsidR="00B93789" w:rsidTr="00D76B1F">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University of Delaware</w:t>
            </w:r>
          </w:p>
        </w:tc>
      </w:tr>
      <w:tr w:rsidR="00B93789" w:rsidTr="00D76B1F">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16"/>
                <w:szCs w:val="16"/>
                <w:vertAlign w:val="superscript"/>
              </w:rPr>
              <w:t>1</w:t>
            </w:r>
            <w:r>
              <w:rPr>
                <w:rFonts w:eastAsia="Arial Narrow" w:cs="Arial Narrow"/>
                <w:color w:val="000000"/>
                <w:sz w:val="16"/>
                <w:szCs w:val="16"/>
              </w:rPr>
              <w:t xml:space="preserve">AFSC-ABL - Auke Bay Laboratories; AFSC-FMA - Fisheries Monitoring &amp; Assessment Division; AFSC-MACE - Midwater Assessment &amp; Conservation Engineering Division; AFSC-MML - Marine Mammal Laboratory; AFSC-RACE - Resource Assessment &amp; Conservation Engineering </w:t>
            </w:r>
            <w:r>
              <w:rPr>
                <w:rFonts w:eastAsia="Arial Narrow" w:cs="Arial Narrow"/>
                <w:color w:val="000000"/>
                <w:sz w:val="16"/>
                <w:szCs w:val="16"/>
              </w:rPr>
              <w:lastRenderedPageBreak/>
              <w:t>Division; AFSC-REFM - Resource Ecology &amp; Fisheries Management Division; IPHC - International Pacific Halibut Commission; NWFSC - Northwest Fisheries Science Center; SBMNH &amp; LACMNH - Santa Barbara Museum of Natural History &amp; Natural History Museum of Los Angeles County; UAF - University of Alaska Fairbanks</w:t>
            </w:r>
          </w:p>
        </w:tc>
      </w:tr>
    </w:tbl>
    <w:p w:rsidR="00B93789" w:rsidRDefault="00B93789" w:rsidP="00B93789">
      <w:pPr>
        <w:pStyle w:val="BodyText"/>
      </w:pPr>
    </w:p>
    <w:p w:rsidR="00B93789" w:rsidRPr="00B93789" w:rsidRDefault="00B93789" w:rsidP="00B93789"/>
    <w:p w:rsidR="00B93789" w:rsidRDefault="00B93789" w:rsidP="00B93789">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009F7F9F" w:rsidRPr="009F7F9F">
        <w:t xml:space="preserve"> </w:t>
      </w:r>
      <w:r w:rsidR="009F7F9F">
        <w:t xml:space="preserve">abundance-at-length), the high-density strata were grouped, resulting in eight subareas: 10, 20, 30 (31+32), 40 (41+42+43), 50, 60 (61+62), 82, and 90 (Fig. </w:t>
      </w:r>
      <w:hyperlink w:anchor="fig-sampled-survey-stations">
        <w:r w:rsidR="009F7F9F">
          <w:fldChar w:fldCharType="begin"/>
        </w:r>
        <w:r w:rsidR="009F7F9F">
          <w:instrText xml:space="preserve"> REF fig-sampled-survey-stations \h</w:instrText>
        </w:r>
        <w:r w:rsidR="009F7F9F">
          <w:fldChar w:fldCharType="separate"/>
        </w:r>
        <w:r w:rsidR="009F7F9F">
          <w:rPr>
            <w:b/>
            <w:noProof/>
          </w:rPr>
          <w:t>1</w:t>
        </w:r>
        <w:r w:rsidR="009F7F9F">
          <w:fldChar w:fldCharType="end"/>
        </w:r>
      </w:hyperlink>
      <w:r w:rsidR="009F7F9F">
        <w:t xml:space="preserve">; Table </w:t>
      </w:r>
      <w:hyperlink w:anchor="tab-stratum-areas">
        <w:r w:rsidR="009F7F9F">
          <w:fldChar w:fldCharType="begin"/>
        </w:r>
        <w:r w:rsidR="009F7F9F">
          <w:instrText xml:space="preserve"> REF tab-stratum-areas \h</w:instrText>
        </w:r>
        <w:r w:rsidR="009F7F9F">
          <w:fldChar w:fldCharType="separate"/>
        </w:r>
        <w:r w:rsidR="009F7F9F">
          <w:rPr>
            <w:b/>
            <w:noProof/>
          </w:rPr>
          <w:t>1</w:t>
        </w:r>
        <w:r w:rsidR="009F7F9F">
          <w:fldChar w:fldCharType="end"/>
        </w:r>
      </w:hyperlink>
      <w:r w:rsidR="009F7F9F">
        <w:t>).</w:t>
      </w:r>
    </w:p>
    <w:p w:rsidR="009F7F9F" w:rsidRDefault="009F7F9F" w:rsidP="00B93789">
      <w:pPr>
        <w:pStyle w:val="BodyText"/>
      </w:pPr>
    </w:p>
    <w:p w:rsidR="00B93789" w:rsidRDefault="00B93789" w:rsidP="00B93789">
      <w:pPr>
        <w:pStyle w:val="Figure"/>
        <w:jc w:val="center"/>
      </w:pPr>
      <w:r>
        <w:rPr>
          <w:noProof/>
        </w:rPr>
        <w:drawing>
          <wp:inline distT="0" distB="0" distL="0" distR="0" wp14:anchorId="651DDE02" wp14:editId="45DAE9CA">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82550" cy="41275"/>
                    </a:xfrm>
                    <a:prstGeom prst="rect">
                      <a:avLst/>
                    </a:prstGeom>
                    <a:noFill/>
                  </pic:spPr>
                </pic:pic>
              </a:graphicData>
            </a:graphic>
          </wp:inline>
        </w:drawing>
      </w:r>
    </w:p>
    <w:p w:rsidR="00B93789" w:rsidRDefault="00B93789" w:rsidP="00B93789">
      <w:pPr>
        <w:pStyle w:val="ImageCaption"/>
      </w:pPr>
      <w:r>
        <w:rPr>
          <w:b/>
        </w:rPr>
        <w:t xml:space="preserve">Fig. </w:t>
      </w:r>
      <w:bookmarkStart w:id="4" w:name="fig-mean-temperature"/>
      <w:r>
        <w:rPr>
          <w:b/>
        </w:rPr>
        <w:fldChar w:fldCharType="begin"/>
      </w:r>
      <w:r>
        <w:rPr>
          <w:b/>
        </w:rPr>
        <w:instrText>SEQ fig \* Arabic</w:instrText>
      </w:r>
      <w:r>
        <w:rPr>
          <w:b/>
        </w:rPr>
        <w:fldChar w:fldCharType="separate"/>
      </w:r>
      <w:r>
        <w:rPr>
          <w:b/>
          <w:noProof/>
        </w:rPr>
        <w:t>5</w:t>
      </w:r>
      <w:r>
        <w:rPr>
          <w:b/>
        </w:rPr>
        <w:fldChar w:fldCharType="end"/>
      </w:r>
      <w:bookmarkEnd w:id="4"/>
      <w:r>
        <w:rPr>
          <w:b/>
        </w:rPr>
        <w:t xml:space="preserve">.-- </w:t>
      </w:r>
      <w:r>
        <w:t>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w:t>
      </w:r>
    </w:p>
    <w:bookmarkEnd w:id="2"/>
    <w:p w:rsidR="00B93789" w:rsidRDefault="00B93789" w:rsidP="00B93789">
      <w:pPr>
        <w:sectPr w:rsidR="00B93789" w:rsidSect="00EC2AE3">
          <w:headerReference w:type="even" r:id="rId9"/>
          <w:headerReference w:type="default" r:id="rId10"/>
          <w:footerReference w:type="even" r:id="rId11"/>
          <w:footerReference w:type="default" r:id="rId12"/>
          <w:headerReference w:type="first" r:id="rId13"/>
          <w:footerReference w:type="first" r:id="rId14"/>
          <w:type w:val="nextColumn"/>
          <w:pgSz w:w="11952" w:h="16848"/>
          <w:pgMar w:top="1440" w:right="1440" w:bottom="1440" w:left="1440" w:header="720" w:footer="720" w:gutter="720"/>
          <w:cols w:space="720"/>
        </w:sectPr>
      </w:pPr>
    </w:p>
    <w:p w:rsidR="00B93789" w:rsidRPr="0026677D" w:rsidRDefault="00B93789" w:rsidP="0026677D">
      <w:pPr>
        <w:pStyle w:val="TableCaption"/>
      </w:pPr>
      <w:r w:rsidRPr="0026677D">
        <w:lastRenderedPageBreak/>
        <w:t xml:space="preserve">Table </w:t>
      </w:r>
      <w:r w:rsidRPr="0026677D">
        <w:fldChar w:fldCharType="begin"/>
      </w:r>
      <w:r w:rsidRPr="0026677D">
        <w:instrText>SEQ tab \* Arabic</w:instrText>
      </w:r>
      <w:r w:rsidRPr="0026677D">
        <w:fldChar w:fldCharType="separate"/>
      </w:r>
      <w:r w:rsidRPr="0026677D">
        <w:t>17</w:t>
      </w:r>
      <w:r w:rsidRPr="0026677D">
        <w:fldChar w:fldCharType="end"/>
      </w:r>
      <w:r w:rsidRPr="0026677D">
        <w:t>.--  Mean Number CPUE (no./ha) with standard deviation, and estimated population (millions) with standard deviation (millions) and 95% lower (LCL; millions) and upper (UCL; millions) confidence limits for walleye pollock (*</w:t>
      </w:r>
      <w:proofErr w:type="spellStart"/>
      <w:r w:rsidRPr="0026677D">
        <w:t>Gadus</w:t>
      </w:r>
      <w:proofErr w:type="spellEnd"/>
      <w:r w:rsidRPr="0026677D">
        <w:t xml:space="preserve"> </w:t>
      </w:r>
      <w:proofErr w:type="spellStart"/>
      <w:r w:rsidRPr="0026677D">
        <w:t>chalcogrammus</w:t>
      </w:r>
      <w:proofErr w:type="spellEnd"/>
      <w:r w:rsidRPr="0026677D">
        <w:t>*) by stratum observed during the 2022 EBS and NBS shelf bottom trawl survey.</w:t>
      </w:r>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B93789" w:rsidTr="00D76B1F">
        <w:trPr>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(no./ha)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population</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population</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B93789" w:rsidTr="00D76B1F">
        <w:trPr>
          <w:jc w:val="center"/>
        </w:trPr>
        <w:tc>
          <w:tcPr>
            <w:tcW w:w="14040" w:type="dxa"/>
            <w:gridSpan w:val="10"/>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13.65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185.12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619.39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110.85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121.64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32.98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1,155.27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528.84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329.74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142.10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291.72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125.71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173.26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44.13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1,079.58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274.97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1,635.29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526.97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85.15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851.75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1,690.56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267.91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167.97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367.85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17.56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164.68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302.30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271.83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38.04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2,386.04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333.90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1,711.23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3,060.86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140.86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22.91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91.02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160.74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234.93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59.20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271.09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109.53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432.64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D76B1F">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153.42</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12.29</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7,563.35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606.07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6,363.33</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8,763.37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r>
      <w:tr w:rsidR="00B93789" w:rsidTr="00D76B1F">
        <w:trPr>
          <w:jc w:val="center"/>
        </w:trPr>
        <w:tc>
          <w:tcPr>
            <w:tcW w:w="14040" w:type="dxa"/>
            <w:gridSpan w:val="10"/>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7.18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407.85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5.92</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B93789" w:rsidTr="00D76B1F">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34.92</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3.96</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694.46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78.75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536.95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851.96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r>
    </w:tbl>
    <w:p w:rsidR="00B93789" w:rsidRDefault="00B93789" w:rsidP="00B93789">
      <w:pPr>
        <w:pStyle w:val="BodyText"/>
      </w:pPr>
      <w:r>
        <w:t xml:space="preserve"> </w:t>
      </w:r>
    </w:p>
    <w:p w:rsidR="00B93789" w:rsidRDefault="00B93789" w:rsidP="0026677D">
      <w:pPr>
        <w:pStyle w:val="TableCaption"/>
      </w:pPr>
      <w:r>
        <w:rPr>
          <w:b/>
        </w:rPr>
        <w:lastRenderedPageBreak/>
        <w:t xml:space="preserve">Table </w:t>
      </w:r>
      <w:bookmarkStart w:id="5" w:name="tab-estimates-maxyr-fish-walleye-pollock"/>
      <w:r>
        <w:rPr>
          <w:b/>
        </w:rPr>
        <w:fldChar w:fldCharType="begin"/>
      </w:r>
      <w:r>
        <w:rPr>
          <w:b/>
        </w:rPr>
        <w:instrText>SEQ tab \* Arabic</w:instrText>
      </w:r>
      <w:r>
        <w:rPr>
          <w:b/>
        </w:rPr>
        <w:fldChar w:fldCharType="separate"/>
      </w:r>
      <w:r>
        <w:rPr>
          <w:b/>
          <w:noProof/>
        </w:rPr>
        <w:t>18</w:t>
      </w:r>
      <w:r>
        <w:rPr>
          <w:b/>
        </w:rPr>
        <w:fldChar w:fldCharType="end"/>
      </w:r>
      <w:bookmarkEnd w:id="5"/>
      <w:r>
        <w:rPr>
          <w:b/>
        </w:rPr>
        <w:t xml:space="preserve">.--  </w:t>
      </w:r>
      <w:r>
        <w:t>Mean weight CPUE (kg/ha) with standard deviation, and estimated biomass (thousand mt) with standard deviation (thousands) and 95% lower (LCL; thousand mt) and upper (UCL; thousand mt) confidence limits for walleye pollock (*</w:t>
      </w:r>
      <w:proofErr w:type="spellStart"/>
      <w:r>
        <w:t>Gadus</w:t>
      </w:r>
      <w:proofErr w:type="spellEnd"/>
      <w:r>
        <w:t xml:space="preserve"> </w:t>
      </w:r>
      <w:proofErr w:type="spellStart"/>
      <w:r>
        <w:t>chalcogrammus</w:t>
      </w:r>
      <w:proofErr w:type="spellEnd"/>
      <w:r>
        <w:t>*) by stratum observed during the 2022 EBS and NBS shelf bottom trawl survey.</w:t>
      </w:r>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B93789" w:rsidTr="00D76B1F">
        <w:trPr>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r>
              <w:rPr>
                <w:rFonts w:eastAsia="Arial Narrow" w:cs="Arial Narrow"/>
                <w:b/>
                <w:color w:val="000000"/>
                <w:sz w:val="20"/>
                <w:szCs w:val="20"/>
              </w:rPr>
              <w:br/>
              <w:t xml:space="preserve"> (thousands)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B93789" w:rsidTr="00D76B1F">
        <w:trPr>
          <w:jc w:val="center"/>
        </w:trPr>
        <w:tc>
          <w:tcPr>
            <w:tcW w:w="14040" w:type="dxa"/>
            <w:gridSpan w:val="10"/>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201.95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269.44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76.16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684.88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192.28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1,069.44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166.10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50.55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252.70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23.07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628.20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143.78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918.78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320.99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48.88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774.30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117.91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1,015.08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99.50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136.31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14.35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139.28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251.76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19.95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1,238.06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175.12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884.14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1,591.98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87.05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166.60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D76B1F">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84.26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6.72</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4,153.97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331.10</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3,498.39</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4,809.56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r>
      <w:tr w:rsidR="00B93789" w:rsidTr="00D76B1F">
        <w:trPr>
          <w:jc w:val="center"/>
        </w:trPr>
        <w:tc>
          <w:tcPr>
            <w:tcW w:w="14040" w:type="dxa"/>
            <w:gridSpan w:val="10"/>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169.22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108.23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135.69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246.31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r>
      <w:tr w:rsidR="00B93789" w:rsidTr="00D76B1F">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89.68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B93789" w:rsidTr="00D76B1F">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19.84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3.30</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394.58</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65.64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263.31</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525.86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D76B1F">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r>
    </w:tbl>
    <w:p w:rsidR="00B93789" w:rsidRDefault="00B93789" w:rsidP="00B93789">
      <w:pPr>
        <w:pStyle w:val="BodyText"/>
      </w:pPr>
    </w:p>
    <w:p w:rsidR="00B93789" w:rsidRDefault="00B93789" w:rsidP="00B93789">
      <w:pPr>
        <w:sectPr w:rsidR="00B93789" w:rsidSect="00EC2AE3">
          <w:headerReference w:type="even" r:id="rId15"/>
          <w:headerReference w:type="default" r:id="rId16"/>
          <w:footerReference w:type="even" r:id="rId17"/>
          <w:footerReference w:type="default" r:id="rId18"/>
          <w:headerReference w:type="first" r:id="rId19"/>
          <w:footerReference w:type="first" r:id="rId20"/>
          <w:type w:val="nextColumn"/>
          <w:pgSz w:w="16838" w:h="11906" w:orient="landscape"/>
          <w:pgMar w:top="1440" w:right="1440" w:bottom="1440" w:left="1440" w:header="720" w:footer="720" w:gutter="720"/>
          <w:cols w:space="720"/>
        </w:sectPr>
      </w:pPr>
    </w:p>
    <w:p w:rsidR="00FB0F24" w:rsidRDefault="00B93789" w:rsidP="00B93789">
      <w:r>
        <w:lastRenderedPageBreak/>
        <w:t>Pacific</w:t>
      </w:r>
    </w:p>
    <w:p w:rsidR="00B93789" w:rsidRDefault="00B93789"/>
    <w:sectPr w:rsidR="00B93789" w:rsidSect="00EC2AE3">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D5B" w:rsidRDefault="00625D5B">
      <w:pPr>
        <w:spacing w:after="0" w:line="240" w:lineRule="auto"/>
      </w:pPr>
      <w:r>
        <w:separator/>
      </w:r>
    </w:p>
  </w:endnote>
  <w:endnote w:type="continuationSeparator" w:id="0">
    <w:p w:rsidR="00625D5B" w:rsidRDefault="0062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404870"/>
      <w:docPartObj>
        <w:docPartGallery w:val="Page Numbers (Bottom of Page)"/>
        <w:docPartUnique/>
      </w:docPartObj>
    </w:sdtPr>
    <w:sdtEndPr>
      <w:rPr>
        <w:noProof/>
      </w:rPr>
    </w:sdtEndPr>
    <w:sdtContent>
      <w:p w:rsidR="00D76B1F" w:rsidRDefault="00D76B1F" w:rsidP="00D76B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473682"/>
      <w:docPartObj>
        <w:docPartGallery w:val="Page Numbers (Bottom of Page)"/>
        <w:docPartUnique/>
      </w:docPartObj>
    </w:sdtPr>
    <w:sdtEndPr>
      <w:rPr>
        <w:noProof/>
      </w:rPr>
    </w:sdtEndPr>
    <w:sdtContent>
      <w:p w:rsidR="00D76B1F" w:rsidRDefault="00D76B1F" w:rsidP="00D76B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D5B" w:rsidRDefault="00625D5B">
      <w:pPr>
        <w:spacing w:after="0" w:line="240" w:lineRule="auto"/>
      </w:pPr>
      <w:r>
        <w:separator/>
      </w:r>
    </w:p>
  </w:footnote>
  <w:footnote w:type="continuationSeparator" w:id="0">
    <w:p w:rsidR="00625D5B" w:rsidRDefault="00625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B1F" w:rsidRDefault="00D76B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9"/>
    <w:rsid w:val="0026677D"/>
    <w:rsid w:val="00295F31"/>
    <w:rsid w:val="00363D21"/>
    <w:rsid w:val="00625D5B"/>
    <w:rsid w:val="0095501D"/>
    <w:rsid w:val="009F7F9F"/>
    <w:rsid w:val="00A1105A"/>
    <w:rsid w:val="00B93789"/>
    <w:rsid w:val="00D76B1F"/>
    <w:rsid w:val="00E64840"/>
    <w:rsid w:val="00EC2AE3"/>
    <w:rsid w:val="00FB0F24"/>
    <w:rsid w:val="00FD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03B96-31D6-4A0F-AF55-5ACDF7FC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01D"/>
  </w:style>
  <w:style w:type="paragraph" w:styleId="Heading1">
    <w:name w:val="heading 1"/>
    <w:basedOn w:val="Normal"/>
    <w:next w:val="BodyText"/>
    <w:link w:val="Heading1Char"/>
    <w:autoRedefine/>
    <w:uiPriority w:val="9"/>
    <w:qFormat/>
    <w:rsid w:val="00E64840"/>
    <w:pPr>
      <w:keepNext/>
      <w:keepLines/>
      <w:spacing w:before="480" w:after="240" w:line="240" w:lineRule="auto"/>
      <w:outlineLvl w:val="0"/>
    </w:pPr>
    <w:rPr>
      <w:rFonts w:ascii="Arial" w:eastAsiaTheme="majorEastAsia" w:hAnsi="Arial" w:cstheme="majorBidi"/>
      <w:b/>
      <w:bCs/>
      <w:color w:val="50B5C1"/>
      <w:sz w:val="32"/>
      <w:szCs w:val="32"/>
    </w:rPr>
  </w:style>
  <w:style w:type="paragraph" w:styleId="Heading2">
    <w:name w:val="heading 2"/>
    <w:basedOn w:val="Normal"/>
    <w:next w:val="Normal"/>
    <w:link w:val="Heading2Char"/>
    <w:uiPriority w:val="9"/>
    <w:unhideWhenUsed/>
    <w:qFormat/>
    <w:rsid w:val="00E64840"/>
    <w:pPr>
      <w:keepNext/>
      <w:keepLines/>
      <w:spacing w:before="40" w:after="240"/>
      <w:outlineLvl w:val="1"/>
    </w:pPr>
    <w:rPr>
      <w:rFonts w:ascii="Arial Narrow" w:eastAsiaTheme="majorEastAsia" w:hAnsi="Arial Narrow" w:cstheme="majorBidi"/>
      <w:b/>
      <w:color w:val="0096A4"/>
      <w:sz w:val="28"/>
      <w:szCs w:val="28"/>
    </w:rPr>
  </w:style>
  <w:style w:type="paragraph" w:styleId="Heading3">
    <w:name w:val="heading 3"/>
    <w:basedOn w:val="Normal"/>
    <w:next w:val="Normal"/>
    <w:link w:val="Heading3Char"/>
    <w:uiPriority w:val="9"/>
    <w:unhideWhenUsed/>
    <w:qFormat/>
    <w:rsid w:val="00E64840"/>
    <w:pPr>
      <w:keepNext/>
      <w:keepLines/>
      <w:spacing w:before="40" w:after="240"/>
      <w:outlineLvl w:val="2"/>
    </w:pPr>
    <w:rPr>
      <w:rFonts w:ascii="Arial Narrow" w:eastAsiaTheme="majorEastAsia" w:hAnsi="Arial Narrow" w:cstheme="majorBidi"/>
      <w:b/>
      <w:color w:val="4F81BD"/>
      <w:sz w:val="28"/>
      <w:szCs w:val="24"/>
    </w:rPr>
  </w:style>
  <w:style w:type="paragraph" w:styleId="Heading4">
    <w:name w:val="heading 4"/>
    <w:next w:val="Normal"/>
    <w:link w:val="Heading4Char"/>
    <w:uiPriority w:val="9"/>
    <w:unhideWhenUsed/>
    <w:qFormat/>
    <w:rsid w:val="00D76B1F"/>
    <w:pPr>
      <w:outlineLvl w:val="3"/>
    </w:pPr>
    <w:rPr>
      <w:rFonts w:ascii="Arial Narrow" w:eastAsiaTheme="majorEastAsia" w:hAnsi="Arial Narrow" w:cstheme="majorBidi"/>
      <w:sz w:val="24"/>
      <w:szCs w:val="24"/>
    </w:rPr>
  </w:style>
  <w:style w:type="paragraph" w:styleId="Heading5">
    <w:name w:val="heading 5"/>
    <w:basedOn w:val="Normal"/>
    <w:next w:val="Normal"/>
    <w:link w:val="Heading5Char"/>
    <w:uiPriority w:val="9"/>
    <w:unhideWhenUsed/>
    <w:qFormat/>
    <w:rsid w:val="0095501D"/>
    <w:pPr>
      <w:keepNext/>
      <w:keepLines/>
      <w:spacing w:before="40" w:after="0"/>
      <w:outlineLvl w:val="4"/>
    </w:pPr>
    <w:rPr>
      <w:rFonts w:ascii="Arial Narrow" w:eastAsiaTheme="majorEastAsia" w:hAnsi="Arial Narrow" w:cstheme="majorBidi"/>
      <w:i/>
      <w:color w:val="2F5496" w:themeColor="accent1" w:themeShade="BF"/>
      <w:sz w:val="24"/>
      <w:szCs w:val="24"/>
    </w:rPr>
  </w:style>
  <w:style w:type="paragraph" w:styleId="Heading6">
    <w:name w:val="heading 6"/>
    <w:basedOn w:val="Normal"/>
    <w:next w:val="Normal"/>
    <w:link w:val="Heading6Char"/>
    <w:uiPriority w:val="9"/>
    <w:unhideWhenUsed/>
    <w:qFormat/>
    <w:rsid w:val="0095501D"/>
    <w:pPr>
      <w:keepNext/>
      <w:keepLines/>
      <w:spacing w:before="40" w:after="0"/>
      <w:outlineLvl w:val="5"/>
    </w:pPr>
    <w:rPr>
      <w:rFonts w:ascii="Arial Narrow" w:eastAsiaTheme="majorEastAsia" w:hAnsi="Arial Narrow"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840"/>
    <w:rPr>
      <w:rFonts w:ascii="Arial" w:eastAsiaTheme="majorEastAsia" w:hAnsi="Arial" w:cstheme="majorBidi"/>
      <w:b/>
      <w:bCs/>
      <w:color w:val="50B5C1"/>
      <w:sz w:val="32"/>
      <w:szCs w:val="32"/>
    </w:rPr>
  </w:style>
  <w:style w:type="paragraph" w:styleId="BodyText">
    <w:name w:val="Body Text"/>
    <w:basedOn w:val="Normal"/>
    <w:link w:val="BodyTextChar"/>
    <w:qFormat/>
    <w:rsid w:val="00B93789"/>
    <w:pPr>
      <w:spacing w:before="180" w:after="0" w:line="240" w:lineRule="auto"/>
    </w:pPr>
    <w:rPr>
      <w:rFonts w:ascii="Arial Narrow" w:hAnsi="Arial Narrow"/>
      <w:color w:val="000000" w:themeColor="text1"/>
      <w:sz w:val="24"/>
      <w:szCs w:val="24"/>
    </w:rPr>
  </w:style>
  <w:style w:type="character" w:customStyle="1" w:styleId="BodyTextChar">
    <w:name w:val="Body Text Char"/>
    <w:basedOn w:val="DefaultParagraphFont"/>
    <w:link w:val="BodyText"/>
    <w:rsid w:val="00B93789"/>
    <w:rPr>
      <w:rFonts w:ascii="Arial Narrow" w:hAnsi="Arial Narrow"/>
      <w:color w:val="000000" w:themeColor="text1"/>
      <w:sz w:val="24"/>
      <w:szCs w:val="24"/>
    </w:rPr>
  </w:style>
  <w:style w:type="paragraph" w:customStyle="1" w:styleId="FirstParagraph">
    <w:name w:val="First Paragraph"/>
    <w:basedOn w:val="BodyText"/>
    <w:next w:val="BodyText"/>
    <w:qFormat/>
    <w:rsid w:val="00B93789"/>
  </w:style>
  <w:style w:type="paragraph" w:styleId="Title">
    <w:name w:val="Title"/>
    <w:basedOn w:val="Normal"/>
    <w:next w:val="BodyText"/>
    <w:link w:val="TitleChar"/>
    <w:qFormat/>
    <w:rsid w:val="00B9378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B93789"/>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qFormat/>
    <w:rsid w:val="00B93789"/>
    <w:pPr>
      <w:keepNext/>
      <w:keepLines/>
      <w:spacing w:after="200" w:line="240" w:lineRule="auto"/>
      <w:jc w:val="center"/>
    </w:pPr>
    <w:rPr>
      <w:sz w:val="24"/>
      <w:szCs w:val="24"/>
    </w:rPr>
  </w:style>
  <w:style w:type="character" w:customStyle="1" w:styleId="DateChar">
    <w:name w:val="Date Char"/>
    <w:basedOn w:val="DefaultParagraphFont"/>
    <w:link w:val="Date"/>
    <w:rsid w:val="00B93789"/>
    <w:rPr>
      <w:sz w:val="24"/>
      <w:szCs w:val="24"/>
    </w:rPr>
  </w:style>
  <w:style w:type="character" w:styleId="Hyperlink">
    <w:name w:val="Hyperlink"/>
    <w:basedOn w:val="DefaultParagraphFont"/>
    <w:rsid w:val="00B93789"/>
    <w:rPr>
      <w:color w:val="4472C4" w:themeColor="accent1"/>
    </w:rPr>
  </w:style>
  <w:style w:type="character" w:customStyle="1" w:styleId="Heading2Char">
    <w:name w:val="Heading 2 Char"/>
    <w:basedOn w:val="DefaultParagraphFont"/>
    <w:link w:val="Heading2"/>
    <w:uiPriority w:val="9"/>
    <w:rsid w:val="00E64840"/>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E64840"/>
    <w:rPr>
      <w:rFonts w:ascii="Arial Narrow" w:eastAsiaTheme="majorEastAsia" w:hAnsi="Arial Narrow" w:cstheme="majorBidi"/>
      <w:b/>
      <w:color w:val="4F81BD"/>
      <w:sz w:val="28"/>
      <w:szCs w:val="24"/>
    </w:rPr>
  </w:style>
  <w:style w:type="paragraph" w:customStyle="1" w:styleId="TableCaption">
    <w:name w:val="Table Caption"/>
    <w:basedOn w:val="Caption"/>
    <w:rsid w:val="0026677D"/>
    <w:pPr>
      <w:keepNext/>
      <w:spacing w:after="120"/>
      <w:ind w:left="720" w:hanging="720"/>
    </w:pPr>
    <w:rPr>
      <w:rFonts w:ascii="Arial Narrow" w:hAnsi="Arial Narrow"/>
      <w:i w:val="0"/>
      <w:iCs w:val="0"/>
      <w:color w:val="auto"/>
      <w:sz w:val="24"/>
      <w:szCs w:val="24"/>
    </w:rPr>
  </w:style>
  <w:style w:type="paragraph" w:customStyle="1" w:styleId="ImageCaption">
    <w:name w:val="Image Caption"/>
    <w:basedOn w:val="Caption"/>
    <w:rsid w:val="00B93789"/>
    <w:pPr>
      <w:spacing w:after="120"/>
      <w:ind w:left="720" w:right="432" w:hanging="720"/>
    </w:pPr>
    <w:rPr>
      <w:rFonts w:ascii="Arial Narrow" w:hAnsi="Arial Narrow"/>
      <w:i w:val="0"/>
      <w:iCs w:val="0"/>
      <w:color w:val="auto"/>
      <w:sz w:val="24"/>
      <w:szCs w:val="24"/>
    </w:rPr>
  </w:style>
  <w:style w:type="paragraph" w:customStyle="1" w:styleId="Figure">
    <w:name w:val="Figure"/>
    <w:basedOn w:val="Normal"/>
    <w:rsid w:val="00B93789"/>
    <w:pPr>
      <w:spacing w:after="200" w:line="240" w:lineRule="auto"/>
    </w:pPr>
    <w:rPr>
      <w:rFonts w:ascii="Arial Narrow" w:hAnsi="Arial Narrow"/>
      <w:sz w:val="24"/>
      <w:szCs w:val="24"/>
    </w:rPr>
  </w:style>
  <w:style w:type="paragraph" w:styleId="Caption">
    <w:name w:val="caption"/>
    <w:basedOn w:val="Normal"/>
    <w:next w:val="Normal"/>
    <w:uiPriority w:val="35"/>
    <w:semiHidden/>
    <w:unhideWhenUsed/>
    <w:qFormat/>
    <w:rsid w:val="00B93789"/>
    <w:pPr>
      <w:spacing w:after="200" w:line="240" w:lineRule="auto"/>
    </w:pPr>
    <w:rPr>
      <w:i/>
      <w:iCs/>
      <w:color w:val="44546A" w:themeColor="text2"/>
      <w:sz w:val="18"/>
      <w:szCs w:val="18"/>
    </w:rPr>
  </w:style>
  <w:style w:type="paragraph" w:styleId="Header">
    <w:name w:val="header"/>
    <w:basedOn w:val="Normal"/>
    <w:link w:val="HeaderChar"/>
    <w:unhideWhenUsed/>
    <w:rsid w:val="00B93789"/>
    <w:pPr>
      <w:tabs>
        <w:tab w:val="center" w:pos="4680"/>
        <w:tab w:val="right" w:pos="9360"/>
      </w:tabs>
      <w:spacing w:after="0" w:line="240" w:lineRule="auto"/>
    </w:pPr>
    <w:rPr>
      <w:rFonts w:ascii="Arial Narrow" w:hAnsi="Arial Narrow"/>
      <w:sz w:val="24"/>
      <w:szCs w:val="24"/>
    </w:rPr>
  </w:style>
  <w:style w:type="character" w:customStyle="1" w:styleId="HeaderChar">
    <w:name w:val="Header Char"/>
    <w:basedOn w:val="DefaultParagraphFont"/>
    <w:link w:val="Header"/>
    <w:rsid w:val="00B93789"/>
    <w:rPr>
      <w:rFonts w:ascii="Arial Narrow" w:hAnsi="Arial Narrow"/>
      <w:sz w:val="24"/>
      <w:szCs w:val="24"/>
    </w:rPr>
  </w:style>
  <w:style w:type="paragraph" w:styleId="Footer">
    <w:name w:val="footer"/>
    <w:basedOn w:val="Normal"/>
    <w:link w:val="FooterChar"/>
    <w:uiPriority w:val="99"/>
    <w:unhideWhenUsed/>
    <w:rsid w:val="00B93789"/>
    <w:pPr>
      <w:tabs>
        <w:tab w:val="center" w:pos="4680"/>
        <w:tab w:val="right" w:pos="9360"/>
      </w:tabs>
      <w:spacing w:after="0" w:line="240" w:lineRule="auto"/>
    </w:pPr>
    <w:rPr>
      <w:rFonts w:ascii="Arial Narrow" w:hAnsi="Arial Narrow"/>
      <w:sz w:val="24"/>
      <w:szCs w:val="24"/>
    </w:rPr>
  </w:style>
  <w:style w:type="character" w:customStyle="1" w:styleId="FooterChar">
    <w:name w:val="Footer Char"/>
    <w:basedOn w:val="DefaultParagraphFont"/>
    <w:link w:val="Footer"/>
    <w:uiPriority w:val="99"/>
    <w:rsid w:val="00B93789"/>
    <w:rPr>
      <w:rFonts w:ascii="Arial Narrow" w:hAnsi="Arial Narrow"/>
      <w:sz w:val="24"/>
      <w:szCs w:val="24"/>
    </w:rPr>
  </w:style>
  <w:style w:type="character" w:customStyle="1" w:styleId="Heading4Char">
    <w:name w:val="Heading 4 Char"/>
    <w:basedOn w:val="DefaultParagraphFont"/>
    <w:link w:val="Heading4"/>
    <w:uiPriority w:val="9"/>
    <w:rsid w:val="00D76B1F"/>
    <w:rPr>
      <w:rFonts w:ascii="Arial Narrow" w:eastAsiaTheme="majorEastAsia" w:hAnsi="Arial Narrow" w:cstheme="majorBidi"/>
      <w:sz w:val="24"/>
      <w:szCs w:val="24"/>
    </w:rPr>
  </w:style>
  <w:style w:type="character" w:customStyle="1" w:styleId="Heading5Char">
    <w:name w:val="Heading 5 Char"/>
    <w:basedOn w:val="DefaultParagraphFont"/>
    <w:link w:val="Heading5"/>
    <w:uiPriority w:val="9"/>
    <w:rsid w:val="0095501D"/>
    <w:rPr>
      <w:rFonts w:ascii="Arial Narrow" w:eastAsiaTheme="majorEastAsia" w:hAnsi="Arial Narrow" w:cstheme="majorBidi"/>
      <w:i/>
      <w:color w:val="2F5496" w:themeColor="accent1" w:themeShade="BF"/>
      <w:sz w:val="24"/>
      <w:szCs w:val="24"/>
    </w:rPr>
  </w:style>
  <w:style w:type="character" w:customStyle="1" w:styleId="Heading6Char">
    <w:name w:val="Heading 6 Char"/>
    <w:basedOn w:val="DefaultParagraphFont"/>
    <w:link w:val="Heading6"/>
    <w:uiPriority w:val="9"/>
    <w:rsid w:val="0095501D"/>
    <w:rPr>
      <w:rFonts w:ascii="Arial Narrow" w:eastAsiaTheme="majorEastAsia" w:hAnsi="Arial Narrow"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isheries.noaa.gov/national/sustainable-fisheries/fisheries-economics-united-states"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hyperlink" Target="https://www.fisheries.noaa.gov/alaska/socioeconomics/alaska-economic-and-social-sciences-research"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1800</Words>
  <Characters>9058</Characters>
  <Application>Microsoft Office Word</Application>
  <DocSecurity>0</DocSecurity>
  <Lines>1006</Lines>
  <Paragraphs>904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2</cp:revision>
  <dcterms:created xsi:type="dcterms:W3CDTF">2022-12-21T01:58:00Z</dcterms:created>
  <dcterms:modified xsi:type="dcterms:W3CDTF">2022-12-21T01:58:00Z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ee30302c-50ee-47c5-9a78-7b2c3c18b2d9</vt:lpwstr>
  </property>
</Properties>
</file>