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AA4FA" w14:textId="77777777" w:rsidR="005D4FD1" w:rsidRPr="00492B78" w:rsidRDefault="00381915" w:rsidP="00075D64">
      <w:pPr>
        <w:pStyle w:val="Heading1"/>
        <w:spacing w:before="200"/>
      </w:pPr>
      <w:bookmarkStart w:id="0" w:name="marine-economy---national-overview"/>
      <w:bookmarkEnd w:id="0"/>
      <w:r w:rsidRPr="00492B78">
        <w:t>Marine Economy - National Overview</w:t>
      </w:r>
    </w:p>
    <w:p w14:paraId="6477D1DA" w14:textId="77777777" w:rsidR="005D4FD1" w:rsidRPr="00492B78" w:rsidRDefault="00381915" w:rsidP="00075D64">
      <w:pPr>
        <w:pStyle w:val="Heading2"/>
      </w:pPr>
      <w:bookmarkStart w:id="1" w:name="seafood-sales-and-processing"/>
      <w:bookmarkEnd w:id="1"/>
      <w:r w:rsidRPr="00492B78">
        <w:t>Seafood Sales and Processing</w:t>
      </w:r>
    </w:p>
    <w:p w14:paraId="1B32FAE3" w14:textId="77777777" w:rsidR="00767B82" w:rsidRDefault="00767B82" w:rsidP="00075D64">
      <w:pPr>
        <w:pStyle w:val="FirstParagraph"/>
        <w:spacing w:before="200" w:after="0"/>
      </w:pPr>
      <w:r>
        <w:t>The economic contributions or impacts of recreational fishing activities in the United States is based on spending by recreational anglers.</w:t>
      </w:r>
      <w:r>
        <w:rPr>
          <w:rStyle w:val="FootnoteReference"/>
        </w:rPr>
        <w:footnoteReference w:id="1"/>
      </w:r>
      <w:r>
        <w:t xml:space="preserve"> Total annual trip expenditures were estimated at the state level by multiplying mean trip expenditures by the estimated number of adult trips in each trip mode (for-hire, private boat, and shore) and adjusting by the CPI (consumer price index) to the current year. Total annual durable expenditures were estimated by multiplying mean durable expenditures by the estimated annual number of adult participants in the United States and adjusting by the CPI (consumer price index) to the current year.</w:t>
      </w:r>
      <w:r>
        <w:rPr>
          <w:rStyle w:val="FootnoteReference"/>
        </w:rPr>
        <w:footnoteReference w:id="2"/>
      </w:r>
    </w:p>
    <w:p w14:paraId="6101C016" w14:textId="58615988" w:rsidR="00767B82" w:rsidRPr="00767B82" w:rsidRDefault="00767B82" w:rsidP="007B71D3">
      <w:pPr>
        <w:pStyle w:val="BodyText"/>
        <w:spacing w:before="200" w:after="0"/>
      </w:pPr>
      <w:r w:rsidRPr="003364E7">
        <w:t xml:space="preserve">Four different measures are commonly used to show how angler expenditures affect the economy in a region (state or nationwide): sales, income, value-added, and employment. The term sales </w:t>
      </w:r>
      <w:proofErr w:type="gramStart"/>
      <w:r w:rsidRPr="003364E7">
        <w:t>refers</w:t>
      </w:r>
      <w:proofErr w:type="gramEnd"/>
      <w:r w:rsidRPr="003364E7">
        <w:t xml:space="preserve"> to the gross value of all sales by regional businesses affected by an activity, such as recreational fishing. It includes both the direct sales made by the angler and sales made between businesses and households resulting from that original sale by the angler. Income includes personal income (wages and salaries) and proprietors’ income (income from self-employment). Value-added is the contribution made to the gross domestic product in a region. Employment is specified </w:t>
      </w:r>
      <w:proofErr w:type="gramStart"/>
      <w:r w:rsidRPr="003364E7">
        <w:t>on the basis of</w:t>
      </w:r>
      <w:proofErr w:type="gramEnd"/>
      <w:r w:rsidRPr="003364E7">
        <w:t xml:space="preserve"> full-time and part-time jobs supported directly or indirectly by the purchases made by anglers. The first three measures are calculated in terms of dollars, whereas employment impacts are measured in numbers of jobs. Note that these categories are not additive.</w:t>
      </w:r>
    </w:p>
    <w:p w14:paraId="38579A02" w14:textId="77777777" w:rsidR="0006111E" w:rsidRPr="007B71D3" w:rsidRDefault="0006111E" w:rsidP="007B71D3">
      <w:pPr>
        <w:pStyle w:val="ListParagraph"/>
        <w:numPr>
          <w:ilvl w:val="0"/>
          <w:numId w:val="6"/>
        </w:numPr>
        <w:spacing w:before="200" w:after="0"/>
        <w:rPr>
          <w:color w:val="56575A"/>
          <w:szCs w:val="22"/>
        </w:rPr>
      </w:pPr>
      <w:r w:rsidRPr="007B71D3">
        <w:rPr>
          <w:b/>
          <w:color w:val="56575A"/>
          <w:szCs w:val="22"/>
        </w:rPr>
        <w:t>Drum (Atlantic croaker and spot) (Atlantic regions)</w:t>
      </w:r>
    </w:p>
    <w:p w14:paraId="13BC0443" w14:textId="77777777" w:rsidR="0006111E" w:rsidRPr="007B71D3" w:rsidRDefault="0006111E" w:rsidP="007B71D3">
      <w:pPr>
        <w:pStyle w:val="ListParagraph"/>
        <w:numPr>
          <w:ilvl w:val="0"/>
          <w:numId w:val="6"/>
        </w:numPr>
        <w:spacing w:before="200" w:after="0"/>
        <w:rPr>
          <w:color w:val="56575A"/>
          <w:szCs w:val="22"/>
        </w:rPr>
      </w:pPr>
      <w:r w:rsidRPr="007B71D3">
        <w:rPr>
          <w:b/>
          <w:color w:val="56575A"/>
          <w:szCs w:val="22"/>
        </w:rPr>
        <w:t>Drum (seatrouts) (Atlantic regions)</w:t>
      </w:r>
      <w:r w:rsidRPr="007B71D3">
        <w:rPr>
          <w:color w:val="56575A"/>
          <w:szCs w:val="22"/>
        </w:rPr>
        <w:t xml:space="preserve">: </w:t>
      </w:r>
      <w:r w:rsidRPr="002A6494">
        <w:t>sand</w:t>
      </w:r>
      <w:r w:rsidRPr="007B71D3">
        <w:rPr>
          <w:color w:val="56575A"/>
          <w:szCs w:val="22"/>
        </w:rPr>
        <w:t xml:space="preserve"> seatrout, seatrout genus, silver seatrout, spotted seatrout, and weakfish</w:t>
      </w:r>
    </w:p>
    <w:p w14:paraId="1D124EE3" w14:textId="1EB03895" w:rsidR="00075D64" w:rsidRPr="007B71D3" w:rsidRDefault="0006111E" w:rsidP="007B71D3">
      <w:pPr>
        <w:pStyle w:val="ListParagraph"/>
        <w:numPr>
          <w:ilvl w:val="0"/>
          <w:numId w:val="6"/>
        </w:numPr>
        <w:spacing w:before="200" w:after="0"/>
        <w:rPr>
          <w:color w:val="56575A"/>
          <w:szCs w:val="22"/>
        </w:rPr>
      </w:pPr>
      <w:r w:rsidRPr="007B71D3">
        <w:rPr>
          <w:b/>
          <w:color w:val="56575A"/>
          <w:szCs w:val="22"/>
        </w:rPr>
        <w:t>Pacific halibut (North Pacific)</w:t>
      </w:r>
    </w:p>
    <w:p w14:paraId="77E33332" w14:textId="77777777" w:rsidR="00075D64" w:rsidRDefault="00075D64" w:rsidP="00075D64">
      <w:pPr>
        <w:pStyle w:val="Heading2"/>
      </w:pPr>
    </w:p>
    <w:p w14:paraId="35E865FC" w14:textId="62692CA9" w:rsidR="00492B78" w:rsidRPr="00492B78" w:rsidRDefault="00381915" w:rsidP="00075D64">
      <w:pPr>
        <w:pStyle w:val="Heading2"/>
      </w:pPr>
      <w:r>
        <w:t>United States | Commercial Fisheries</w:t>
      </w:r>
    </w:p>
    <w:p w14:paraId="666A8AD1" w14:textId="28B33A89" w:rsidR="007439DD" w:rsidRDefault="007439DD" w:rsidP="00075D64">
      <w:pPr>
        <w:pStyle w:val="Heading4"/>
      </w:pPr>
      <w:r>
        <w:t>Harvest (H) &amp; Release (R) of Key Species/Species Groups (thousands of fish)</w:t>
      </w:r>
      <w:r>
        <w:rPr>
          <w:rStyle w:val="FootnoteReference"/>
        </w:rPr>
        <w:footnoteReference w:id="3"/>
      </w:r>
      <w:r>
        <w:t xml:space="preserve"> </w:t>
      </w:r>
      <w:r>
        <w:rPr>
          <w:vertAlign w:val="superscript"/>
        </w:rPr>
        <w:t>,</w:t>
      </w:r>
      <w:r>
        <w:t xml:space="preserve"> </w:t>
      </w:r>
      <w:r>
        <w:rPr>
          <w:rStyle w:val="FootnoteReference"/>
        </w:rPr>
        <w:footnoteReference w:id="4"/>
      </w:r>
    </w:p>
    <w:p w14:paraId="05A7BBD9" w14:textId="7E70F285" w:rsidR="002570E3" w:rsidRPr="002570E3" w:rsidRDefault="002570E3" w:rsidP="00075D64">
      <w:pPr>
        <w:spacing w:before="200" w:after="0"/>
      </w:pPr>
    </w:p>
    <w:tbl>
      <w:tblPr>
        <w:tblW w:w="0" w:type="pct"/>
        <w:tblLook w:val="07E0" w:firstRow="1" w:lastRow="1" w:firstColumn="1" w:lastColumn="1" w:noHBand="1" w:noVBand="1"/>
      </w:tblPr>
      <w:tblGrid>
        <w:gridCol w:w="2773"/>
        <w:gridCol w:w="819"/>
        <w:gridCol w:w="1097"/>
        <w:gridCol w:w="927"/>
        <w:gridCol w:w="1285"/>
      </w:tblGrid>
      <w:tr w:rsidR="00492B78" w14:paraId="20812B00" w14:textId="77777777" w:rsidTr="00DB06A2">
        <w:tc>
          <w:tcPr>
            <w:tcW w:w="0" w:type="auto"/>
            <w:tcBorders>
              <w:bottom w:val="single" w:sz="0" w:space="0" w:color="auto"/>
            </w:tcBorders>
            <w:vAlign w:val="bottom"/>
          </w:tcPr>
          <w:p w14:paraId="2F4F5907" w14:textId="77777777" w:rsidR="00492B78" w:rsidRDefault="00492B78" w:rsidP="00075D64">
            <w:pPr>
              <w:pStyle w:val="Compact"/>
              <w:spacing w:before="200" w:after="0"/>
            </w:pPr>
            <w:r>
              <w:t>Fishing Mode</w:t>
            </w:r>
          </w:p>
        </w:tc>
        <w:tc>
          <w:tcPr>
            <w:tcW w:w="0" w:type="auto"/>
            <w:tcBorders>
              <w:bottom w:val="single" w:sz="0" w:space="0" w:color="auto"/>
            </w:tcBorders>
            <w:vAlign w:val="bottom"/>
          </w:tcPr>
          <w:p w14:paraId="1217317F" w14:textId="77777777" w:rsidR="00492B78" w:rsidRDefault="00492B78" w:rsidP="00075D64">
            <w:pPr>
              <w:pStyle w:val="Compact"/>
              <w:spacing w:before="200" w:after="0"/>
            </w:pPr>
            <w:r>
              <w:t>#Jobs</w:t>
            </w:r>
          </w:p>
        </w:tc>
        <w:tc>
          <w:tcPr>
            <w:tcW w:w="0" w:type="auto"/>
            <w:tcBorders>
              <w:bottom w:val="single" w:sz="0" w:space="0" w:color="auto"/>
            </w:tcBorders>
            <w:vAlign w:val="bottom"/>
          </w:tcPr>
          <w:p w14:paraId="1ED28159" w14:textId="77777777" w:rsidR="00492B78" w:rsidRDefault="00492B78" w:rsidP="00075D64">
            <w:pPr>
              <w:pStyle w:val="Compact"/>
              <w:spacing w:before="200" w:after="0"/>
            </w:pPr>
            <w:r>
              <w:t>Sales</w:t>
            </w:r>
          </w:p>
        </w:tc>
        <w:tc>
          <w:tcPr>
            <w:tcW w:w="0" w:type="auto"/>
            <w:tcBorders>
              <w:bottom w:val="single" w:sz="0" w:space="0" w:color="auto"/>
            </w:tcBorders>
            <w:vAlign w:val="bottom"/>
          </w:tcPr>
          <w:p w14:paraId="0CB8ED41" w14:textId="77777777" w:rsidR="00492B78" w:rsidRDefault="00492B78" w:rsidP="00075D64">
            <w:pPr>
              <w:pStyle w:val="Compact"/>
              <w:spacing w:before="200" w:after="0"/>
            </w:pPr>
            <w:r>
              <w:t>Income</w:t>
            </w:r>
          </w:p>
        </w:tc>
        <w:tc>
          <w:tcPr>
            <w:tcW w:w="0" w:type="auto"/>
            <w:tcBorders>
              <w:bottom w:val="single" w:sz="0" w:space="0" w:color="auto"/>
            </w:tcBorders>
            <w:vAlign w:val="bottom"/>
          </w:tcPr>
          <w:p w14:paraId="2D7299C0" w14:textId="77777777" w:rsidR="00492B78" w:rsidRDefault="00492B78" w:rsidP="00075D64">
            <w:pPr>
              <w:pStyle w:val="Compact"/>
              <w:spacing w:before="200" w:after="0"/>
            </w:pPr>
            <w:r>
              <w:t>Value Added</w:t>
            </w:r>
          </w:p>
        </w:tc>
      </w:tr>
      <w:tr w:rsidR="00492B78" w14:paraId="6F3EC738" w14:textId="77777777" w:rsidTr="00DB06A2">
        <w:tc>
          <w:tcPr>
            <w:tcW w:w="0" w:type="auto"/>
          </w:tcPr>
          <w:p w14:paraId="165B6715" w14:textId="77777777" w:rsidR="00492B78" w:rsidRDefault="00492B78" w:rsidP="00075D64">
            <w:pPr>
              <w:pStyle w:val="Compact"/>
              <w:spacing w:before="200" w:after="0"/>
            </w:pPr>
            <w:r>
              <w:t>For-Hire</w:t>
            </w:r>
          </w:p>
        </w:tc>
        <w:tc>
          <w:tcPr>
            <w:tcW w:w="0" w:type="auto"/>
          </w:tcPr>
          <w:p w14:paraId="4B8E606D" w14:textId="77777777" w:rsidR="00492B78" w:rsidRDefault="00492B78" w:rsidP="00075D64">
            <w:pPr>
              <w:pStyle w:val="Compact"/>
              <w:spacing w:before="200" w:after="0"/>
            </w:pPr>
            <w:r>
              <w:t>1,097</w:t>
            </w:r>
          </w:p>
        </w:tc>
        <w:tc>
          <w:tcPr>
            <w:tcW w:w="0" w:type="auto"/>
          </w:tcPr>
          <w:p w14:paraId="30162099" w14:textId="77777777" w:rsidR="00492B78" w:rsidRDefault="00492B78" w:rsidP="00075D64">
            <w:pPr>
              <w:pStyle w:val="Compact"/>
              <w:spacing w:before="200" w:after="0"/>
            </w:pPr>
            <w:r>
              <w:t>121,965</w:t>
            </w:r>
          </w:p>
        </w:tc>
        <w:tc>
          <w:tcPr>
            <w:tcW w:w="0" w:type="auto"/>
          </w:tcPr>
          <w:p w14:paraId="5BED4FBE" w14:textId="77777777" w:rsidR="00492B78" w:rsidRDefault="00492B78" w:rsidP="00075D64">
            <w:pPr>
              <w:pStyle w:val="Compact"/>
              <w:spacing w:before="200" w:after="0"/>
            </w:pPr>
            <w:r>
              <w:t>41,158</w:t>
            </w:r>
          </w:p>
        </w:tc>
        <w:tc>
          <w:tcPr>
            <w:tcW w:w="0" w:type="auto"/>
          </w:tcPr>
          <w:p w14:paraId="3A1914C6" w14:textId="77777777" w:rsidR="00492B78" w:rsidRDefault="00492B78" w:rsidP="00075D64">
            <w:pPr>
              <w:pStyle w:val="Compact"/>
              <w:spacing w:before="200" w:after="0"/>
            </w:pPr>
            <w:r>
              <w:t>73,447</w:t>
            </w:r>
          </w:p>
        </w:tc>
      </w:tr>
      <w:tr w:rsidR="00492B78" w14:paraId="037C473C" w14:textId="77777777" w:rsidTr="00DB06A2">
        <w:tc>
          <w:tcPr>
            <w:tcW w:w="0" w:type="auto"/>
          </w:tcPr>
          <w:p w14:paraId="566DA0A2" w14:textId="77777777" w:rsidR="00492B78" w:rsidRDefault="00492B78" w:rsidP="00075D64">
            <w:pPr>
              <w:pStyle w:val="Compact"/>
              <w:spacing w:before="200" w:after="0"/>
            </w:pPr>
            <w:r>
              <w:t>Private Boat</w:t>
            </w:r>
          </w:p>
        </w:tc>
        <w:tc>
          <w:tcPr>
            <w:tcW w:w="0" w:type="auto"/>
          </w:tcPr>
          <w:p w14:paraId="46B85944" w14:textId="77777777" w:rsidR="00492B78" w:rsidRDefault="00492B78" w:rsidP="00075D64">
            <w:pPr>
              <w:pStyle w:val="Compact"/>
              <w:spacing w:before="200" w:after="0"/>
            </w:pPr>
            <w:r>
              <w:t>1,876</w:t>
            </w:r>
          </w:p>
        </w:tc>
        <w:tc>
          <w:tcPr>
            <w:tcW w:w="0" w:type="auto"/>
          </w:tcPr>
          <w:p w14:paraId="29456D8E" w14:textId="77777777" w:rsidR="00492B78" w:rsidRPr="002570E3" w:rsidRDefault="00492B78" w:rsidP="00075D64">
            <w:pPr>
              <w:pStyle w:val="Compact"/>
              <w:spacing w:before="200" w:after="0"/>
            </w:pPr>
            <w:r w:rsidRPr="002570E3">
              <w:t>254,812</w:t>
            </w:r>
          </w:p>
        </w:tc>
        <w:tc>
          <w:tcPr>
            <w:tcW w:w="0" w:type="auto"/>
          </w:tcPr>
          <w:p w14:paraId="6788B0FB" w14:textId="77777777" w:rsidR="00492B78" w:rsidRDefault="00492B78" w:rsidP="00075D64">
            <w:pPr>
              <w:pStyle w:val="Compact"/>
              <w:spacing w:before="200" w:after="0"/>
            </w:pPr>
            <w:r>
              <w:t>79,074</w:t>
            </w:r>
          </w:p>
        </w:tc>
        <w:tc>
          <w:tcPr>
            <w:tcW w:w="0" w:type="auto"/>
          </w:tcPr>
          <w:p w14:paraId="01FA8992" w14:textId="77777777" w:rsidR="00492B78" w:rsidRDefault="00492B78" w:rsidP="00075D64">
            <w:pPr>
              <w:pStyle w:val="Compact"/>
              <w:spacing w:before="200" w:after="0"/>
            </w:pPr>
            <w:r>
              <w:t>154,631</w:t>
            </w:r>
          </w:p>
        </w:tc>
      </w:tr>
      <w:tr w:rsidR="00492B78" w14:paraId="0E516DBD" w14:textId="77777777" w:rsidTr="00DB06A2">
        <w:tc>
          <w:tcPr>
            <w:tcW w:w="0" w:type="auto"/>
          </w:tcPr>
          <w:p w14:paraId="51C58E2F" w14:textId="77777777" w:rsidR="00492B78" w:rsidRDefault="00492B78" w:rsidP="00075D64">
            <w:pPr>
              <w:pStyle w:val="Compact"/>
              <w:spacing w:before="200" w:after="0"/>
            </w:pPr>
            <w:r>
              <w:lastRenderedPageBreak/>
              <w:t>Shore</w:t>
            </w:r>
          </w:p>
        </w:tc>
        <w:tc>
          <w:tcPr>
            <w:tcW w:w="0" w:type="auto"/>
          </w:tcPr>
          <w:p w14:paraId="22EC7330" w14:textId="77777777" w:rsidR="00492B78" w:rsidRDefault="00492B78" w:rsidP="00075D64">
            <w:pPr>
              <w:pStyle w:val="Compact"/>
              <w:spacing w:before="200" w:after="0"/>
            </w:pPr>
            <w:r>
              <w:t>NA</w:t>
            </w:r>
          </w:p>
        </w:tc>
        <w:tc>
          <w:tcPr>
            <w:tcW w:w="0" w:type="auto"/>
          </w:tcPr>
          <w:p w14:paraId="640BC5FD" w14:textId="77777777" w:rsidR="00492B78" w:rsidRDefault="00492B78" w:rsidP="00075D64">
            <w:pPr>
              <w:pStyle w:val="Compact"/>
              <w:spacing w:before="200" w:after="0"/>
            </w:pPr>
            <w:r>
              <w:t>NA</w:t>
            </w:r>
          </w:p>
        </w:tc>
        <w:tc>
          <w:tcPr>
            <w:tcW w:w="0" w:type="auto"/>
          </w:tcPr>
          <w:p w14:paraId="32B754AD" w14:textId="77777777" w:rsidR="00492B78" w:rsidRDefault="00492B78" w:rsidP="00075D64">
            <w:pPr>
              <w:pStyle w:val="Compact"/>
              <w:spacing w:before="200" w:after="0"/>
            </w:pPr>
            <w:r>
              <w:t>NA</w:t>
            </w:r>
          </w:p>
        </w:tc>
        <w:tc>
          <w:tcPr>
            <w:tcW w:w="0" w:type="auto"/>
          </w:tcPr>
          <w:p w14:paraId="3E383B8D" w14:textId="77777777" w:rsidR="00492B78" w:rsidRDefault="00492B78" w:rsidP="00075D64">
            <w:pPr>
              <w:pStyle w:val="Compact"/>
              <w:spacing w:before="200" w:after="0"/>
            </w:pPr>
            <w:r>
              <w:t>NA</w:t>
            </w:r>
          </w:p>
        </w:tc>
      </w:tr>
      <w:tr w:rsidR="00492B78" w14:paraId="213C2B61" w14:textId="77777777" w:rsidTr="00DB06A2">
        <w:tc>
          <w:tcPr>
            <w:tcW w:w="0" w:type="auto"/>
          </w:tcPr>
          <w:p w14:paraId="64EB9325" w14:textId="77777777" w:rsidR="00492B78" w:rsidRDefault="00492B78" w:rsidP="00075D64">
            <w:pPr>
              <w:pStyle w:val="Compact"/>
              <w:spacing w:before="200" w:after="0"/>
            </w:pPr>
            <w:r>
              <w:t>Total Durable Expenditures</w:t>
            </w:r>
          </w:p>
        </w:tc>
        <w:tc>
          <w:tcPr>
            <w:tcW w:w="0" w:type="auto"/>
          </w:tcPr>
          <w:p w14:paraId="3C78E814" w14:textId="77777777" w:rsidR="00492B78" w:rsidRDefault="00492B78" w:rsidP="00075D64">
            <w:pPr>
              <w:pStyle w:val="Compact"/>
              <w:spacing w:before="200" w:after="0"/>
            </w:pPr>
            <w:r>
              <w:t>10,610</w:t>
            </w:r>
          </w:p>
        </w:tc>
        <w:tc>
          <w:tcPr>
            <w:tcW w:w="0" w:type="auto"/>
          </w:tcPr>
          <w:p w14:paraId="056C27DA" w14:textId="77777777" w:rsidR="00492B78" w:rsidRDefault="00492B78" w:rsidP="00075D64">
            <w:pPr>
              <w:pStyle w:val="Compact"/>
              <w:spacing w:before="200" w:after="0"/>
            </w:pPr>
            <w:r>
              <w:t>1,343,395</w:t>
            </w:r>
          </w:p>
        </w:tc>
        <w:tc>
          <w:tcPr>
            <w:tcW w:w="0" w:type="auto"/>
          </w:tcPr>
          <w:p w14:paraId="21418ED8" w14:textId="77777777" w:rsidR="00492B78" w:rsidRDefault="00492B78" w:rsidP="00075D64">
            <w:pPr>
              <w:pStyle w:val="Compact"/>
              <w:spacing w:before="200" w:after="0"/>
            </w:pPr>
            <w:r>
              <w:t>522,431</w:t>
            </w:r>
          </w:p>
        </w:tc>
        <w:tc>
          <w:tcPr>
            <w:tcW w:w="0" w:type="auto"/>
          </w:tcPr>
          <w:p w14:paraId="6B11B43B" w14:textId="77777777" w:rsidR="00492B78" w:rsidRDefault="00492B78" w:rsidP="00075D64">
            <w:pPr>
              <w:pStyle w:val="Compact"/>
              <w:spacing w:before="200" w:after="0"/>
            </w:pPr>
            <w:r>
              <w:t>851,616</w:t>
            </w:r>
          </w:p>
        </w:tc>
      </w:tr>
      <w:tr w:rsidR="00492B78" w14:paraId="770DEF88" w14:textId="77777777" w:rsidTr="00DB06A2">
        <w:tc>
          <w:tcPr>
            <w:tcW w:w="0" w:type="auto"/>
          </w:tcPr>
          <w:p w14:paraId="1C58EA1A" w14:textId="77777777" w:rsidR="00492B78" w:rsidRDefault="00492B78" w:rsidP="00075D64">
            <w:pPr>
              <w:pStyle w:val="Compact"/>
              <w:spacing w:before="200" w:after="0"/>
            </w:pPr>
            <w:r>
              <w:t>Total State Economic Impacts</w:t>
            </w:r>
          </w:p>
        </w:tc>
        <w:tc>
          <w:tcPr>
            <w:tcW w:w="0" w:type="auto"/>
          </w:tcPr>
          <w:p w14:paraId="1A19B453" w14:textId="77777777" w:rsidR="00492B78" w:rsidRDefault="00492B78" w:rsidP="00075D64">
            <w:pPr>
              <w:pStyle w:val="Compact"/>
              <w:spacing w:before="200" w:after="0"/>
            </w:pPr>
            <w:r>
              <w:t>13,583</w:t>
            </w:r>
          </w:p>
        </w:tc>
        <w:tc>
          <w:tcPr>
            <w:tcW w:w="0" w:type="auto"/>
          </w:tcPr>
          <w:p w14:paraId="67279590" w14:textId="77777777" w:rsidR="00492B78" w:rsidRDefault="00492B78" w:rsidP="00075D64">
            <w:pPr>
              <w:pStyle w:val="Compact"/>
              <w:spacing w:before="200" w:after="0"/>
            </w:pPr>
            <w:r>
              <w:t>1,720,172</w:t>
            </w:r>
          </w:p>
        </w:tc>
        <w:tc>
          <w:tcPr>
            <w:tcW w:w="0" w:type="auto"/>
          </w:tcPr>
          <w:p w14:paraId="74A1A51A" w14:textId="77777777" w:rsidR="00492B78" w:rsidRDefault="00492B78" w:rsidP="00075D64">
            <w:pPr>
              <w:pStyle w:val="Compact"/>
              <w:spacing w:before="200" w:after="0"/>
            </w:pPr>
            <w:r>
              <w:t>642,663</w:t>
            </w:r>
          </w:p>
        </w:tc>
        <w:tc>
          <w:tcPr>
            <w:tcW w:w="0" w:type="auto"/>
          </w:tcPr>
          <w:p w14:paraId="7847D6F2" w14:textId="77777777" w:rsidR="00492B78" w:rsidRDefault="00492B78" w:rsidP="00075D64">
            <w:pPr>
              <w:pStyle w:val="Compact"/>
              <w:spacing w:before="200" w:after="0"/>
            </w:pPr>
            <w:r>
              <w:t>1,079,694</w:t>
            </w:r>
          </w:p>
        </w:tc>
      </w:tr>
    </w:tbl>
    <w:p w14:paraId="1E2311B8" w14:textId="77777777" w:rsidR="00492B78" w:rsidRDefault="00492B78" w:rsidP="00075D64">
      <w:pPr>
        <w:pStyle w:val="BlockText"/>
        <w:spacing w:before="200" w:after="0"/>
      </w:pPr>
    </w:p>
    <w:p w14:paraId="6AF8172E" w14:textId="7E304DBC" w:rsidR="007041F5" w:rsidRPr="002570E3" w:rsidRDefault="007041F5" w:rsidP="00075D64">
      <w:pPr>
        <w:pStyle w:val="BlockText"/>
        <w:spacing w:before="200" w:after="0"/>
      </w:pPr>
      <w:r w:rsidRPr="002570E3">
        <w:t xml:space="preserve">I may be using the wrong trips </w:t>
      </w:r>
      <w:proofErr w:type="gramStart"/>
      <w:r w:rsidRPr="002570E3">
        <w:t>value?</w:t>
      </w:r>
      <w:proofErr w:type="gramEnd"/>
    </w:p>
    <w:p w14:paraId="530723FE" w14:textId="77777777" w:rsidR="0075623E" w:rsidRDefault="0075623E" w:rsidP="00075D64">
      <w:pPr>
        <w:keepNext/>
        <w:spacing w:before="200" w:after="0"/>
        <w:jc w:val="center"/>
      </w:pPr>
      <w:r>
        <w:rPr>
          <w:noProof/>
        </w:rPr>
        <w:drawing>
          <wp:anchor distT="0" distB="0" distL="114300" distR="114300" simplePos="0" relativeHeight="251658240" behindDoc="0" locked="0" layoutInCell="1" allowOverlap="1" wp14:anchorId="46D49812" wp14:editId="3FB635FA">
            <wp:simplePos x="0" y="0"/>
            <wp:positionH relativeFrom="column">
              <wp:posOffset>228600</wp:posOffset>
            </wp:positionH>
            <wp:positionV relativeFrom="paragraph">
              <wp:posOffset>0</wp:posOffset>
            </wp:positionV>
            <wp:extent cx="5495544" cy="5495544"/>
            <wp:effectExtent l="0" t="0" r="0" b="0"/>
            <wp:wrapTopAndBottom/>
            <wp:docPr id="2" name="Picture" descr="#### Figure 2. Sampled survey stations by vessel and the stratification scheme used for data analysis of 2018 eastern Bering Sea and eastern Bering Sea continental shelf bottom trawl surveys. The map also depicts the stations sampled by each survey vessel and where, if any, Norton Sound crab resampling was done."/>
            <wp:cNvGraphicFramePr/>
            <a:graphic xmlns:a="http://schemas.openxmlformats.org/drawingml/2006/main">
              <a:graphicData uri="http://schemas.openxmlformats.org/drawingml/2006/picture">
                <pic:pic xmlns:pic="http://schemas.openxmlformats.org/drawingml/2006/picture">
                  <pic:nvPicPr>
                    <pic:cNvPr id="0" name="Picture" descr="C:/Users/Emii/Documents/Homework/1AFSC_GAP/gap_bs_data_report//output//2022-01-03//2018//figures/003_fig_2_fig_sampled_survey_stations.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495544" cy="5495544"/>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0D350A30" w14:textId="04184279" w:rsidR="0075623E" w:rsidRDefault="0075623E" w:rsidP="00075D64">
      <w:pPr>
        <w:pStyle w:val="Caption"/>
        <w:spacing w:before="200" w:after="0"/>
      </w:pPr>
      <w:r>
        <w:t xml:space="preserve">Figure </w:t>
      </w:r>
      <w:fldSimple w:instr=" SEQ Figure \* ARABIC ">
        <w:r>
          <w:rPr>
            <w:noProof/>
          </w:rPr>
          <w:t>1</w:t>
        </w:r>
      </w:fldSimple>
      <w:r>
        <w:t>. blah</w:t>
      </w:r>
    </w:p>
    <w:p w14:paraId="345ADF53" w14:textId="77777777" w:rsidR="00381915" w:rsidRDefault="00381915" w:rsidP="00075D64">
      <w:pPr>
        <w:pStyle w:val="BodyText"/>
        <w:spacing w:before="200" w:after="0"/>
      </w:pPr>
    </w:p>
    <w:sectPr w:rsidR="00381915" w:rsidSect="008C38CB">
      <w:footerReference w:type="default" r:id="rId8"/>
      <w:pgSz w:w="12240" w:h="15840"/>
      <w:pgMar w:top="1080" w:right="1080" w:bottom="108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1362E" w14:textId="77777777" w:rsidR="00E661E0" w:rsidRDefault="00E661E0">
      <w:pPr>
        <w:spacing w:after="0"/>
      </w:pPr>
      <w:r>
        <w:separator/>
      </w:r>
    </w:p>
  </w:endnote>
  <w:endnote w:type="continuationSeparator" w:id="0">
    <w:p w14:paraId="2911DF5B" w14:textId="77777777" w:rsidR="00E661E0" w:rsidRDefault="00E661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8999268"/>
      <w:docPartObj>
        <w:docPartGallery w:val="Page Numbers (Bottom of Page)"/>
        <w:docPartUnique/>
      </w:docPartObj>
    </w:sdtPr>
    <w:sdtEndPr>
      <w:rPr>
        <w:noProof/>
      </w:rPr>
    </w:sdtEndPr>
    <w:sdtContent>
      <w:p w14:paraId="66A53AF7" w14:textId="187D16A4" w:rsidR="00DB358C" w:rsidRDefault="00DB35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CAB553" w14:textId="77777777" w:rsidR="00DB358C" w:rsidRDefault="00DB35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5CC14" w14:textId="77777777" w:rsidR="00E661E0" w:rsidRDefault="00E661E0">
      <w:r>
        <w:separator/>
      </w:r>
    </w:p>
  </w:footnote>
  <w:footnote w:type="continuationSeparator" w:id="0">
    <w:p w14:paraId="5156E187" w14:textId="77777777" w:rsidR="00E661E0" w:rsidRDefault="00E661E0">
      <w:r>
        <w:continuationSeparator/>
      </w:r>
    </w:p>
  </w:footnote>
  <w:footnote w:id="1">
    <w:p w14:paraId="72AE7D63" w14:textId="77777777" w:rsidR="00767B82" w:rsidRDefault="00767B82" w:rsidP="00DA1B0E">
      <w:pPr>
        <w:pStyle w:val="FootnoteText"/>
      </w:pPr>
      <w:r>
        <w:rPr>
          <w:rStyle w:val="FootnoteReference"/>
        </w:rPr>
        <w:footnoteRef/>
      </w:r>
      <w:r>
        <w:t xml:space="preserve"> Trip expenditure estimates were generated from the 2016/2017 National Marine Recreational Fishing Expenditure Survey. Durable goods expenditures were </w:t>
      </w:r>
      <w:r w:rsidRPr="00DA1B0E">
        <w:t>generated</w:t>
      </w:r>
      <w:r>
        <w:t xml:space="preserve"> from the 2014 National Marine Recreational Fishing Expenditure Survey [Available at </w:t>
      </w:r>
      <w:hyperlink r:id="rId1">
        <w:r>
          <w:rPr>
            <w:rStyle w:val="Hyperlink"/>
          </w:rPr>
          <w:t>http://www.st.nmfs.noaa.gov/economics/fisheries/recreational/Marine-Angler-Durable-Expenditures/2014-durable-expenditures-survey</w:t>
        </w:r>
      </w:hyperlink>
      <w:r>
        <w:t>].</w:t>
      </w:r>
    </w:p>
  </w:footnote>
  <w:footnote w:id="2">
    <w:p w14:paraId="2B0D29BD" w14:textId="77777777" w:rsidR="00767B82" w:rsidRDefault="00767B82" w:rsidP="00DA1B0E">
      <w:pPr>
        <w:pStyle w:val="FootnoteText"/>
      </w:pPr>
      <w:r>
        <w:rPr>
          <w:rStyle w:val="FootnoteReference"/>
        </w:rPr>
        <w:footnoteRef/>
      </w:r>
      <w:r>
        <w:t xml:space="preserve"> Summary data is available online in the FEUS webtool [Available at </w:t>
      </w:r>
      <w:hyperlink r:id="rId2">
        <w:r>
          <w:rPr>
            <w:rStyle w:val="Hyperlink"/>
          </w:rPr>
          <w:t>https://www.st.nmfs.noaa.gov/data-and-tools/FEUS/explore-the-data</w:t>
        </w:r>
      </w:hyperlink>
      <w:r>
        <w:t>].</w:t>
      </w:r>
    </w:p>
  </w:footnote>
  <w:footnote w:id="3">
    <w:p w14:paraId="205C5350" w14:textId="77777777" w:rsidR="007439DD" w:rsidRDefault="007439DD" w:rsidP="00DA1B0E">
      <w:pPr>
        <w:pStyle w:val="FootnoteText"/>
      </w:pPr>
      <w:r>
        <w:rPr>
          <w:rStyle w:val="FootnoteReference"/>
        </w:rPr>
        <w:footnoteRef/>
      </w:r>
      <w:r>
        <w:t xml:space="preserve"> Data on the number of fish released in Texas are not collected by the Texas Parks and Wildlife Department (TPWD) and therefore not reported in this table.</w:t>
      </w:r>
    </w:p>
  </w:footnote>
  <w:footnote w:id="4">
    <w:p w14:paraId="10F4E04F" w14:textId="77777777" w:rsidR="007439DD" w:rsidRDefault="007439DD" w:rsidP="00DA1B0E">
      <w:pPr>
        <w:pStyle w:val="FootnoteText"/>
      </w:pPr>
      <w:r>
        <w:rPr>
          <w:rStyle w:val="FootnoteReference"/>
        </w:rPr>
        <w:footnoteRef/>
      </w:r>
      <w:r>
        <w:t xml:space="preserve"> ‘NA’ = not available.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C567BC4"/>
    <w:multiLevelType w:val="hybridMultilevel"/>
    <w:tmpl w:val="CAA6DC7A"/>
    <w:lvl w:ilvl="0" w:tplc="04090001">
      <w:start w:val="1"/>
      <w:numFmt w:val="bullet"/>
      <w:lvlText w:val=""/>
      <w:lvlJc w:val="left"/>
      <w:pPr>
        <w:ind w:left="240" w:hanging="360"/>
      </w:pPr>
      <w:rPr>
        <w:rFonts w:ascii="Symbol" w:hAnsi="Symbol" w:hint="default"/>
      </w:rPr>
    </w:lvl>
    <w:lvl w:ilvl="1" w:tplc="04090003" w:tentative="1">
      <w:start w:val="1"/>
      <w:numFmt w:val="bullet"/>
      <w:lvlText w:val="o"/>
      <w:lvlJc w:val="left"/>
      <w:pPr>
        <w:ind w:left="960" w:hanging="360"/>
      </w:pPr>
      <w:rPr>
        <w:rFonts w:ascii="Courier New" w:hAnsi="Courier New" w:cs="Courier New" w:hint="default"/>
      </w:rPr>
    </w:lvl>
    <w:lvl w:ilvl="2" w:tplc="04090005" w:tentative="1">
      <w:start w:val="1"/>
      <w:numFmt w:val="bullet"/>
      <w:lvlText w:val=""/>
      <w:lvlJc w:val="left"/>
      <w:pPr>
        <w:ind w:left="1680" w:hanging="360"/>
      </w:pPr>
      <w:rPr>
        <w:rFonts w:ascii="Wingdings" w:hAnsi="Wingdings" w:hint="default"/>
      </w:rPr>
    </w:lvl>
    <w:lvl w:ilvl="3" w:tplc="04090001" w:tentative="1">
      <w:start w:val="1"/>
      <w:numFmt w:val="bullet"/>
      <w:lvlText w:val=""/>
      <w:lvlJc w:val="left"/>
      <w:pPr>
        <w:ind w:left="2400" w:hanging="360"/>
      </w:pPr>
      <w:rPr>
        <w:rFonts w:ascii="Symbol" w:hAnsi="Symbol" w:hint="default"/>
      </w:rPr>
    </w:lvl>
    <w:lvl w:ilvl="4" w:tplc="04090003" w:tentative="1">
      <w:start w:val="1"/>
      <w:numFmt w:val="bullet"/>
      <w:lvlText w:val="o"/>
      <w:lvlJc w:val="left"/>
      <w:pPr>
        <w:ind w:left="3120" w:hanging="360"/>
      </w:pPr>
      <w:rPr>
        <w:rFonts w:ascii="Courier New" w:hAnsi="Courier New" w:cs="Courier New" w:hint="default"/>
      </w:rPr>
    </w:lvl>
    <w:lvl w:ilvl="5" w:tplc="04090005" w:tentative="1">
      <w:start w:val="1"/>
      <w:numFmt w:val="bullet"/>
      <w:lvlText w:val=""/>
      <w:lvlJc w:val="left"/>
      <w:pPr>
        <w:ind w:left="3840" w:hanging="360"/>
      </w:pPr>
      <w:rPr>
        <w:rFonts w:ascii="Wingdings" w:hAnsi="Wingdings" w:hint="default"/>
      </w:rPr>
    </w:lvl>
    <w:lvl w:ilvl="6" w:tplc="04090001" w:tentative="1">
      <w:start w:val="1"/>
      <w:numFmt w:val="bullet"/>
      <w:lvlText w:val=""/>
      <w:lvlJc w:val="left"/>
      <w:pPr>
        <w:ind w:left="4560" w:hanging="360"/>
      </w:pPr>
      <w:rPr>
        <w:rFonts w:ascii="Symbol" w:hAnsi="Symbol" w:hint="default"/>
      </w:rPr>
    </w:lvl>
    <w:lvl w:ilvl="7" w:tplc="04090003" w:tentative="1">
      <w:start w:val="1"/>
      <w:numFmt w:val="bullet"/>
      <w:lvlText w:val="o"/>
      <w:lvlJc w:val="left"/>
      <w:pPr>
        <w:ind w:left="5280" w:hanging="360"/>
      </w:pPr>
      <w:rPr>
        <w:rFonts w:ascii="Courier New" w:hAnsi="Courier New" w:cs="Courier New" w:hint="default"/>
      </w:rPr>
    </w:lvl>
    <w:lvl w:ilvl="8" w:tplc="04090005" w:tentative="1">
      <w:start w:val="1"/>
      <w:numFmt w:val="bullet"/>
      <w:lvlText w:val=""/>
      <w:lvlJc w:val="left"/>
      <w:pPr>
        <w:ind w:left="6000" w:hanging="360"/>
      </w:pPr>
      <w:rPr>
        <w:rFonts w:ascii="Wingdings" w:hAnsi="Wingdings" w:hint="default"/>
      </w:rPr>
    </w:lvl>
  </w:abstractNum>
  <w:abstractNum w:abstractNumId="3"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600605C3"/>
    <w:multiLevelType w:val="hybridMultilevel"/>
    <w:tmpl w:val="5B18FCA4"/>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num w:numId="1" w16cid:durableId="302931201">
    <w:abstractNumId w:val="1"/>
  </w:num>
  <w:num w:numId="2" w16cid:durableId="1029256248">
    <w:abstractNumId w:val="0"/>
  </w:num>
  <w:num w:numId="3" w16cid:durableId="556820791">
    <w:abstractNumId w:val="4"/>
  </w:num>
  <w:num w:numId="4" w16cid:durableId="2146700816">
    <w:abstractNumId w:val="3"/>
  </w:num>
  <w:num w:numId="5" w16cid:durableId="1793479756">
    <w:abstractNumId w:val="2"/>
  </w:num>
  <w:num w:numId="6" w16cid:durableId="1941188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111E"/>
    <w:rsid w:val="00075D64"/>
    <w:rsid w:val="00133A7D"/>
    <w:rsid w:val="001738F0"/>
    <w:rsid w:val="00184979"/>
    <w:rsid w:val="001B1288"/>
    <w:rsid w:val="00246C5E"/>
    <w:rsid w:val="002570E3"/>
    <w:rsid w:val="002A6494"/>
    <w:rsid w:val="002F2813"/>
    <w:rsid w:val="003364E7"/>
    <w:rsid w:val="00381915"/>
    <w:rsid w:val="00414A91"/>
    <w:rsid w:val="00492B78"/>
    <w:rsid w:val="004C79E9"/>
    <w:rsid w:val="004E29B3"/>
    <w:rsid w:val="00590D07"/>
    <w:rsid w:val="005B2158"/>
    <w:rsid w:val="005D4FD1"/>
    <w:rsid w:val="00650267"/>
    <w:rsid w:val="006C40EF"/>
    <w:rsid w:val="00700932"/>
    <w:rsid w:val="007041F5"/>
    <w:rsid w:val="007439DD"/>
    <w:rsid w:val="0075623E"/>
    <w:rsid w:val="00767B82"/>
    <w:rsid w:val="00784D58"/>
    <w:rsid w:val="007B71D3"/>
    <w:rsid w:val="007E182D"/>
    <w:rsid w:val="00856D9E"/>
    <w:rsid w:val="00876088"/>
    <w:rsid w:val="008C38CB"/>
    <w:rsid w:val="008D6863"/>
    <w:rsid w:val="008E65CB"/>
    <w:rsid w:val="0097150D"/>
    <w:rsid w:val="009F5802"/>
    <w:rsid w:val="00B86B75"/>
    <w:rsid w:val="00BC48D5"/>
    <w:rsid w:val="00BE6C68"/>
    <w:rsid w:val="00C22511"/>
    <w:rsid w:val="00C36279"/>
    <w:rsid w:val="00D05EE7"/>
    <w:rsid w:val="00D34497"/>
    <w:rsid w:val="00DA1B0E"/>
    <w:rsid w:val="00DB358C"/>
    <w:rsid w:val="00E315A3"/>
    <w:rsid w:val="00E51C95"/>
    <w:rsid w:val="00E661E0"/>
    <w:rsid w:val="00F16B6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F78E"/>
  <w15:docId w15:val="{4D4C6691-F174-4641-9512-9F2334EC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1C95"/>
    <w:rPr>
      <w:rFonts w:ascii="Arial Narrow" w:hAnsi="Arial Narrow"/>
      <w:sz w:val="22"/>
    </w:rPr>
  </w:style>
  <w:style w:type="paragraph" w:styleId="Heading1">
    <w:name w:val="heading 1"/>
    <w:basedOn w:val="Normal"/>
    <w:next w:val="BodyText"/>
    <w:autoRedefine/>
    <w:uiPriority w:val="9"/>
    <w:qFormat/>
    <w:rsid w:val="00133A7D"/>
    <w:pPr>
      <w:keepNext/>
      <w:keepLines/>
      <w:spacing w:before="480" w:after="0"/>
      <w:outlineLvl w:val="0"/>
    </w:pPr>
    <w:rPr>
      <w:rFonts w:eastAsiaTheme="majorEastAsia" w:cstheme="majorBidi"/>
      <w:b/>
      <w:bCs/>
      <w:color w:val="50B5C1"/>
      <w:sz w:val="32"/>
      <w:szCs w:val="32"/>
    </w:rPr>
  </w:style>
  <w:style w:type="paragraph" w:styleId="Heading2">
    <w:name w:val="heading 2"/>
    <w:basedOn w:val="Normal"/>
    <w:next w:val="BodyText"/>
    <w:uiPriority w:val="9"/>
    <w:unhideWhenUsed/>
    <w:qFormat/>
    <w:rsid w:val="00492B78"/>
    <w:pPr>
      <w:keepNext/>
      <w:keepLines/>
      <w:spacing w:before="200" w:after="0"/>
      <w:outlineLvl w:val="1"/>
    </w:pPr>
    <w:rPr>
      <w:rFonts w:ascii="Arial" w:eastAsiaTheme="majorEastAsia" w:hAnsi="Arial" w:cs="Arial"/>
      <w:b/>
      <w:bCs/>
      <w:color w:val="0096A4"/>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2570E3"/>
    <w:pPr>
      <w:keepNext/>
      <w:keepLines/>
      <w:spacing w:before="200" w:after="0"/>
      <w:outlineLvl w:val="3"/>
    </w:pPr>
    <w:rPr>
      <w:rFonts w:eastAsiaTheme="majorEastAsia" w:cstheme="majorBidi"/>
      <w:b/>
      <w:bCs/>
      <w:color w:val="56575A"/>
      <w:szCs w:val="22"/>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364E7"/>
    <w:pPr>
      <w:spacing w:before="180" w:after="180"/>
    </w:pPr>
    <w:rPr>
      <w:color w:val="56575A"/>
      <w:sz w:val="24"/>
    </w:rPr>
  </w:style>
  <w:style w:type="paragraph" w:customStyle="1" w:styleId="FirstParagraph">
    <w:name w:val="First Paragraph"/>
    <w:basedOn w:val="BodyText"/>
    <w:next w:val="BodyText"/>
    <w:qFormat/>
    <w:rsid w:val="002570E3"/>
  </w:style>
  <w:style w:type="paragraph" w:customStyle="1" w:styleId="Compact">
    <w:name w:val="Compact"/>
    <w:basedOn w:val="BodyText"/>
    <w:qFormat/>
    <w:rsid w:val="002570E3"/>
    <w:pPr>
      <w:spacing w:before="36" w:after="36"/>
    </w:pPr>
    <w:rPr>
      <w:rFonts w:ascii="Verdana" w:hAnsi="Verdana"/>
      <w:sz w:val="17"/>
      <w:szCs w:val="17"/>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2570E3"/>
    <w:pPr>
      <w:spacing w:before="100" w:after="100"/>
    </w:pPr>
    <w:rPr>
      <w:rFonts w:eastAsiaTheme="majorEastAsia" w:cstheme="majorBidi"/>
      <w:bCs/>
      <w:strike/>
      <w:color w:val="FF0000"/>
      <w:sz w:val="20"/>
      <w:szCs w:val="20"/>
    </w:rPr>
  </w:style>
  <w:style w:type="paragraph" w:styleId="FootnoteText">
    <w:name w:val="footnote text"/>
    <w:basedOn w:val="Normal"/>
    <w:link w:val="FootnoteTextChar"/>
    <w:uiPriority w:val="9"/>
    <w:unhideWhenUsed/>
    <w:qFormat/>
    <w:rsid w:val="00DA1B0E"/>
    <w:rPr>
      <w:color w:val="56575A"/>
      <w:szCs w:val="22"/>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spacing w:after="0"/>
      <w:jc w:val="right"/>
    </w:pPr>
    <w:rPr>
      <w:sz w:val="18"/>
      <w:szCs w:val="18"/>
    </w:rPr>
  </w:style>
  <w:style w:type="character" w:customStyle="1" w:styleId="BodyTextChar">
    <w:name w:val="Body Text Char"/>
    <w:basedOn w:val="DefaultParagraphFont"/>
    <w:link w:val="BodyText"/>
    <w:rsid w:val="003364E7"/>
    <w:rPr>
      <w:rFonts w:ascii="Arial Narrow" w:hAnsi="Arial Narrow"/>
      <w:color w:val="56575A"/>
    </w:rPr>
  </w:style>
  <w:style w:type="character" w:customStyle="1" w:styleId="TableContentChar">
    <w:name w:val="Table Content Char"/>
    <w:basedOn w:val="BodyTextChar"/>
    <w:link w:val="TableContent"/>
    <w:rsid w:val="00F73D9B"/>
    <w:rPr>
      <w:rFonts w:ascii="Arial Narrow" w:hAnsi="Arial Narrow"/>
      <w:color w:val="56575A"/>
      <w:sz w:val="18"/>
      <w:szCs w:val="18"/>
    </w:rPr>
  </w:style>
  <w:style w:type="character" w:customStyle="1" w:styleId="FootnoteTextChar">
    <w:name w:val="Footnote Text Char"/>
    <w:basedOn w:val="DefaultParagraphFont"/>
    <w:link w:val="FootnoteText"/>
    <w:uiPriority w:val="9"/>
    <w:rsid w:val="00DA1B0E"/>
    <w:rPr>
      <w:rFonts w:ascii="Arial Narrow" w:hAnsi="Arial Narrow"/>
      <w:color w:val="56575A"/>
      <w:sz w:val="22"/>
      <w:szCs w:val="22"/>
    </w:rPr>
  </w:style>
  <w:style w:type="paragraph" w:styleId="ListParagraph">
    <w:name w:val="List Paragraph"/>
    <w:basedOn w:val="Normal"/>
    <w:rsid w:val="00075D64"/>
    <w:pPr>
      <w:ind w:left="720"/>
      <w:contextualSpacing/>
    </w:pPr>
  </w:style>
  <w:style w:type="paragraph" w:styleId="Header">
    <w:name w:val="header"/>
    <w:basedOn w:val="Normal"/>
    <w:link w:val="HeaderChar"/>
    <w:unhideWhenUsed/>
    <w:rsid w:val="00DB358C"/>
    <w:pPr>
      <w:tabs>
        <w:tab w:val="center" w:pos="4680"/>
        <w:tab w:val="right" w:pos="9360"/>
      </w:tabs>
      <w:spacing w:after="0"/>
    </w:pPr>
  </w:style>
  <w:style w:type="character" w:customStyle="1" w:styleId="HeaderChar">
    <w:name w:val="Header Char"/>
    <w:basedOn w:val="DefaultParagraphFont"/>
    <w:link w:val="Header"/>
    <w:rsid w:val="00DB358C"/>
    <w:rPr>
      <w:rFonts w:ascii="Arial Narrow" w:hAnsi="Arial Narrow"/>
      <w:sz w:val="22"/>
    </w:rPr>
  </w:style>
  <w:style w:type="paragraph" w:styleId="Footer">
    <w:name w:val="footer"/>
    <w:basedOn w:val="Normal"/>
    <w:link w:val="FooterChar"/>
    <w:uiPriority w:val="99"/>
    <w:unhideWhenUsed/>
    <w:rsid w:val="00DB358C"/>
    <w:pPr>
      <w:tabs>
        <w:tab w:val="center" w:pos="4680"/>
        <w:tab w:val="right" w:pos="9360"/>
      </w:tabs>
      <w:spacing w:after="0"/>
    </w:pPr>
  </w:style>
  <w:style w:type="character" w:customStyle="1" w:styleId="FooterChar">
    <w:name w:val="Footer Char"/>
    <w:basedOn w:val="DefaultParagraphFont"/>
    <w:link w:val="Footer"/>
    <w:uiPriority w:val="99"/>
    <w:rsid w:val="00DB358C"/>
    <w:rPr>
      <w:rFonts w:ascii="Arial Narrow" w:hAnsi="Arial Narro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st.nmfs.noaa.gov/data-and-tools/FEUS/explore-the-data" TargetMode="External"/><Relationship Id="rId1" Type="http://schemas.openxmlformats.org/officeDocument/2006/relationships/hyperlink" Target="http://www.st.nmfs.noaa.gov/economics/fisheries/recreational/Marine-Angler-Durable-Expenditures/2014-durable-expenditures-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Markowitz</dc:creator>
  <cp:lastModifiedBy>Emily Markowitz</cp:lastModifiedBy>
  <cp:revision>25</cp:revision>
  <dcterms:created xsi:type="dcterms:W3CDTF">2019-03-10T05:23:00Z</dcterms:created>
  <dcterms:modified xsi:type="dcterms:W3CDTF">2022-04-27T21:35:00Z</dcterms:modified>
</cp:coreProperties>
</file>