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image1.jpeg" ContentType="image/jpe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b6ab62224a76de77441bf224da367442180958f"/>
      <w:r>
        <w:t xml:space="preserve">Example of how to use this R Markdown document</w:t>
      </w:r>
      <w:bookmarkEnd w:id="20"/>
    </w:p>
    <w:p>
      <w:pPr>
        <w:pStyle w:val="FirstParagraph"/>
      </w:pPr>
      <w:r>
        <w:t xml:space="preserve">Here is the report content!</w:t>
      </w:r>
    </w:p>
    <w:p>
      <w:pPr>
        <w:pStyle w:val="Heading2"/>
      </w:pPr>
      <w:bookmarkStart w:id="21" w:name="citations"/>
      <w:r>
        <w:t xml:space="preserve">Citations</w:t>
      </w:r>
      <w:bookmarkEnd w:id="21"/>
    </w:p>
    <w:p>
      <w:pPr>
        <w:pStyle w:val="FirstParagraph"/>
      </w:pPr>
      <w:r>
        <w:t xml:space="preserve">My example dataset has 41,079 rows in it and 17 columns in it.</w:t>
      </w:r>
      <w:r>
        <w:rPr>
          <w:rStyle w:val="FootnoteReference"/>
        </w:rPr>
        <w:footnoteReference w:id="22"/>
      </w:r>
      <w:r>
        <w:t xml:space="preserve"> </w:t>
      </w:r>
      <w:r>
        <w:t xml:space="preserve">That is an 100% decrease</w:t>
      </w:r>
      <w:r>
        <w:rPr>
          <w:rStyle w:val="FootnoteReference"/>
        </w:rPr>
        <w:footnoteReference w:id="23"/>
      </w:r>
      <w:r>
        <w:t xml:space="preserve">. This work has nothing to do with</w:t>
      </w:r>
      <w:r>
        <w:t xml:space="preserve"> </w:t>
      </w:r>
      <w:r>
        <w:t xml:space="preserve">(Sverdrup,</w:t>
      </w:r>
      <w:r>
        <w:t xml:space="preserve"> </w:t>
      </w:r>
      <w:hyperlink w:anchor="ref-RN170">
        <w:r>
          <w:rPr>
            <w:rStyle w:val="Hyperlink"/>
          </w:rPr>
          <w:t xml:space="preserve">1953</w:t>
        </w:r>
      </w:hyperlink>
      <w:r>
        <w:t xml:space="preserve">)</w:t>
      </w:r>
      <w:r>
        <w:t xml:space="preserve">, but I’ll cite it here anyway. I am sure that</w:t>
      </w:r>
      <w:r>
        <w:t xml:space="preserve"> </w:t>
      </w:r>
      <w:r>
        <w:t xml:space="preserve">Arrhenius (</w:t>
      </w:r>
      <w:hyperlink w:anchor="ref-RN621">
        <w:r>
          <w:rPr>
            <w:rStyle w:val="Hyperlink"/>
          </w:rPr>
          <w:t xml:space="preserve">1889</w:t>
        </w:r>
      </w:hyperlink>
      <w:r>
        <w:t xml:space="preserve">)</w:t>
      </w:r>
      <w:r>
        <w:t xml:space="preserve"> </w:t>
      </w:r>
      <w:r>
        <w:t xml:space="preserve">would like to have something to say about that!</w:t>
      </w:r>
    </w:p>
    <w:p>
      <w:pPr>
        <w:pStyle w:val="BodyText"/>
      </w:pPr>
      <w:r>
        <w:t xml:space="preserve">Note that references will appear at the bottom of this document (and any document that you put references in) but when you combine this document with all of the other documents that you create, it will shift to the bottom of the report.</w:t>
      </w:r>
    </w:p>
    <w:p>
      <w:pPr>
        <w:pStyle w:val="Heading2"/>
      </w:pPr>
      <w:bookmarkStart w:id="24" w:name="equations"/>
      <w:r>
        <w:t xml:space="preserve">Equations</w:t>
      </w:r>
      <w:bookmarkEnd w:id="24"/>
    </w:p>
    <w:p>
      <w:pPr>
        <w:pStyle w:val="FirstParagraph"/>
      </w:pPr>
      <w:r>
        <w:t xml:space="preserve">Here is some equation you’ll need to have in this report, of which produces the variable</w:t>
      </w:r>
      <w:r>
        <w:t xml:space="preserve"> </w:t>
      </w:r>
      <m:oMath>
        <m:r>
          <m:t>X</m:t>
        </m:r>
      </m:oMath>
      <w:r>
        <w:t xml:space="preserve">.</w:t>
      </w:r>
    </w:p>
    <w:p>
      <w:pPr>
        <w:pStyle w:val="BodyText"/>
      </w:pPr>
      <w:r>
        <w:t xml:space="preserve">Eq. 1</w:t>
      </w:r>
    </w:p>
    <w:p>
      <w:pPr>
        <w:pStyle w:val="BodyText"/>
      </w:pPr>
      <m:oMathPara>
        <m:oMathParaPr>
          <m:jc m:val="center"/>
        </m:oMathParaPr>
        <m:oMath>
          <m:r>
            <m:t>X</m:t>
          </m:r>
          <m:r>
            <m:t>=</m:t>
          </m:r>
          <m:r>
            <m:t>Y</m:t>
          </m:r>
          <m:r>
            <m:t>+</m:t>
          </m:r>
          <m:r>
            <m:t>Z</m:t>
          </m:r>
        </m:oMath>
      </m:oMathPara>
    </w:p>
    <w:p>
      <w:pPr>
        <w:pStyle w:val="Heading2"/>
      </w:pPr>
      <w:bookmarkStart w:id="25" w:name="example-figure"/>
      <w:r>
        <w:t xml:space="preserve">Example Figure</w:t>
      </w:r>
      <w:bookmarkEnd w:id="25"/>
    </w:p>
    <w:p>
      <w:pPr>
        <w:pStyle w:val="CaptionedFigure"/>
      </w:pPr>
      <w:r>
        <w:drawing>
          <wp:inline>
            <wp:extent cx="4620126" cy="3696101"/>
            <wp:effectExtent b="0" l="0" r="0" t="0"/>
            <wp:docPr descr="Figure 1. Here’s a plot" title="" id="1" name="Picture"/>
            <a:graphic>
              <a:graphicData uri="http://schemas.openxmlformats.org/drawingml/2006/picture">
                <pic:pic>
                  <pic:nvPicPr>
                    <pic:cNvPr descr="C:/Users/Emii/Documents/Homework/2Utilities/NOAATechMemoStarterKit/output/2020-12-03/chapters/001_Example_001_Text_files/figure-docx/G1d-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Here’s a plot</w:t>
      </w:r>
      <w:r>
        <w:rPr>
          <w:rStyle w:val="FootnoteReference"/>
        </w:rPr>
        <w:footnoteReference w:id="27"/>
      </w:r>
    </w:p>
    <w:p>
      <w:pPr>
        <w:pStyle w:val="Heading2"/>
      </w:pPr>
      <w:bookmarkStart w:id="28" w:name="example-table"/>
      <w:r>
        <w:t xml:space="preserve">Example Table</w:t>
      </w:r>
      <w:bookmarkEnd w:id="28"/>
    </w:p>
    <w:p>
      <w:pPr>
        <w:pStyle w:val="Heading3"/>
      </w:pPr>
      <w:bookmarkStart w:id="30" w:name="table-1.-heres-a-table"/>
      <w:r>
        <w:t xml:space="preserve">Table 1. Here’s a table</w:t>
      </w:r>
      <w:r>
        <w:rPr>
          <w:rStyle w:val="FootnoteReference"/>
        </w:rPr>
        <w:footnoteReference w:id="29"/>
      </w:r>
      <w:bookmarkEnd w:id="30"/>
    </w:p>
    <w:tbl>
      <w:tblPr>
        <w:tblStyle w:val="Table"/>
        <w:tblW w:type="pct" w:w="0.0"/>
        <w:tblLook w:firstRow="1"/>
      </w:tblPr>
      <w:tblGrid/>
      <w:tr>
        <w:trPr>
          <w:cnfStyle w:firstRow="1"/>
        </w:trPr>
        <w:tc>
          <w:tcPr>
            <w:tcBorders>
              <w:bottom w:val="single"/>
            </w:tcBorders>
            <w:vAlign w:val="bottom"/>
          </w:tcPr>
          <w:p>
            <w:pPr>
              <w:pStyle w:val="Compact"/>
              <w:jc w:val="left"/>
            </w:pPr>
            <w:r>
              <w:t xml:space="preserve">Latitude</w:t>
            </w:r>
          </w:p>
        </w:tc>
        <w:tc>
          <w:tcPr>
            <w:tcBorders>
              <w:bottom w:val="single"/>
            </w:tcBorders>
            <w:vAlign w:val="bottom"/>
          </w:tcPr>
          <w:p>
            <w:pPr>
              <w:pStyle w:val="Compact"/>
              <w:jc w:val="left"/>
            </w:pPr>
            <w:r>
              <w:t xml:space="preserve">Longitude</w:t>
            </w:r>
          </w:p>
        </w:tc>
        <w:tc>
          <w:tcPr>
            <w:tcBorders>
              <w:bottom w:val="single"/>
            </w:tcBorders>
            <w:vAlign w:val="bottom"/>
          </w:tcPr>
          <w:p>
            <w:pPr>
              <w:pStyle w:val="Compact"/>
              <w:jc w:val="left"/>
            </w:pPr>
            <w:r>
              <w:t xml:space="preserve">Vessel ID Number</w:t>
            </w:r>
          </w:p>
        </w:tc>
      </w:tr>
      <w:tr>
        <w:tc>
          <w:p>
            <w:pPr>
              <w:pStyle w:val="Compact"/>
              <w:jc w:val="left"/>
            </w:pPr>
            <w:r>
              <w:t xml:space="preserve">58.3</w:t>
            </w:r>
          </w:p>
        </w:tc>
        <w:tc>
          <w:p>
            <w:pPr>
              <w:pStyle w:val="Compact"/>
              <w:jc w:val="left"/>
            </w:pPr>
            <w:r>
              <w:t xml:space="preserve">-168.5</w:t>
            </w:r>
          </w:p>
        </w:tc>
        <w:tc>
          <w:p>
            <w:pPr>
              <w:pStyle w:val="Compact"/>
              <w:jc w:val="left"/>
            </w:pPr>
            <w:r>
              <w:t xml:space="preserve">162</w:t>
            </w:r>
          </w:p>
        </w:tc>
      </w:tr>
      <w:tr>
        <w:tc>
          <w:p>
            <w:pPr>
              <w:pStyle w:val="Compact"/>
              <w:jc w:val="left"/>
            </w:pPr>
            <w:r>
              <w:t xml:space="preserve">58.3</w:t>
            </w:r>
          </w:p>
        </w:tc>
        <w:tc>
          <w:p>
            <w:pPr>
              <w:pStyle w:val="Compact"/>
              <w:jc w:val="left"/>
            </w:pPr>
            <w:r>
              <w:t xml:space="preserve">-168.5</w:t>
            </w:r>
          </w:p>
        </w:tc>
        <w:tc>
          <w:p>
            <w:pPr>
              <w:pStyle w:val="Compact"/>
              <w:jc w:val="left"/>
            </w:pPr>
            <w:r>
              <w:t xml:space="preserve">162</w:t>
            </w:r>
          </w:p>
        </w:tc>
      </w:tr>
      <w:tr>
        <w:tc>
          <w:p>
            <w:pPr>
              <w:pStyle w:val="Compact"/>
              <w:jc w:val="left"/>
            </w:pPr>
            <w:r>
              <w:t xml:space="preserve">58.3</w:t>
            </w:r>
          </w:p>
        </w:tc>
        <w:tc>
          <w:p>
            <w:pPr>
              <w:pStyle w:val="Compact"/>
              <w:jc w:val="left"/>
            </w:pPr>
            <w:r>
              <w:t xml:space="preserve">-168.5</w:t>
            </w:r>
          </w:p>
        </w:tc>
        <w:tc>
          <w:p>
            <w:pPr>
              <w:pStyle w:val="Compact"/>
              <w:jc w:val="left"/>
            </w:pPr>
            <w:r>
              <w:t xml:space="preserve">162</w:t>
            </w:r>
          </w:p>
        </w:tc>
      </w:tr>
      <w:tr>
        <w:tc>
          <w:p>
            <w:pPr>
              <w:pStyle w:val="Compact"/>
              <w:jc w:val="left"/>
            </w:pPr>
            <w:r>
              <w:t xml:space="preserve">58.3</w:t>
            </w:r>
          </w:p>
        </w:tc>
        <w:tc>
          <w:p>
            <w:pPr>
              <w:pStyle w:val="Compact"/>
              <w:jc w:val="left"/>
            </w:pPr>
            <w:r>
              <w:t xml:space="preserve">-168.5</w:t>
            </w:r>
          </w:p>
        </w:tc>
        <w:tc>
          <w:p>
            <w:pPr>
              <w:pStyle w:val="Compact"/>
              <w:jc w:val="left"/>
            </w:pPr>
            <w:r>
              <w:t xml:space="preserve">162</w:t>
            </w:r>
          </w:p>
        </w:tc>
      </w:tr>
      <w:tr>
        <w:tc>
          <w:p>
            <w:pPr>
              <w:pStyle w:val="Compact"/>
              <w:jc w:val="left"/>
            </w:pPr>
            <w:r>
              <w:t xml:space="preserve">58.3</w:t>
            </w:r>
          </w:p>
        </w:tc>
        <w:tc>
          <w:p>
            <w:pPr>
              <w:pStyle w:val="Compact"/>
              <w:jc w:val="left"/>
            </w:pPr>
            <w:r>
              <w:t xml:space="preserve">-168.5</w:t>
            </w:r>
          </w:p>
        </w:tc>
        <w:tc>
          <w:p>
            <w:pPr>
              <w:pStyle w:val="Compact"/>
              <w:jc w:val="left"/>
            </w:pPr>
            <w:r>
              <w:t xml:space="preserve">162</w:t>
            </w:r>
          </w:p>
        </w:tc>
      </w:tr>
      <w:tr>
        <w:tc>
          <w:p>
            <w:pPr>
              <w:pStyle w:val="Compact"/>
              <w:jc w:val="left"/>
            </w:pPr>
            <w:r>
              <w:t xml:space="preserve">58.3</w:t>
            </w:r>
          </w:p>
        </w:tc>
        <w:tc>
          <w:p>
            <w:pPr>
              <w:pStyle w:val="Compact"/>
              <w:jc w:val="left"/>
            </w:pPr>
            <w:r>
              <w:t xml:space="preserve">-168.5</w:t>
            </w:r>
          </w:p>
        </w:tc>
        <w:tc>
          <w:p>
            <w:pPr>
              <w:pStyle w:val="Compact"/>
              <w:jc w:val="left"/>
            </w:pPr>
            <w:r>
              <w:t xml:space="preserve">162</w:t>
            </w:r>
          </w:p>
        </w:tc>
      </w:tr>
    </w:tbl>
    <w:p>
      <w:pPr>
        <w:pStyle w:val="Heading1"/>
      </w:pPr>
      <w:bookmarkStart w:id="31" w:name="bibliography"/>
      <w:r>
        <w:t xml:space="preserve">References</w:t>
      </w:r>
      <w:bookmarkEnd w:id="31"/>
    </w:p>
    <w:bookmarkStart w:id="34" w:name="refs"/>
    <w:bookmarkStart w:id="32" w:name="ref-RN621"/>
    <w:p>
      <w:pPr>
        <w:pStyle w:val="Bibliography"/>
      </w:pPr>
      <w:r>
        <w:t xml:space="preserve">Arrhenius, S. (1889). Über die reaktionsgeschwindigkeit bei der inversion von rohrzucker durch säuren.</w:t>
      </w:r>
      <w:r>
        <w:t xml:space="preserve"> </w:t>
      </w:r>
      <w:r>
        <w:rPr>
          <w:i/>
        </w:rPr>
        <w:t xml:space="preserve">Zeitschrift Für Physikalische Chemie</w:t>
      </w:r>
      <w:r>
        <w:t xml:space="preserve">,</w:t>
      </w:r>
      <w:r>
        <w:t xml:space="preserve"> </w:t>
      </w:r>
      <w:r>
        <w:rPr>
          <w:i/>
        </w:rPr>
        <w:t xml:space="preserve">4</w:t>
      </w:r>
      <w:r>
        <w:t xml:space="preserve">(1), 226–248. Journal Article.</w:t>
      </w:r>
    </w:p>
    <w:bookmarkEnd w:id="32"/>
    <w:bookmarkStart w:id="33" w:name="ref-RN170"/>
    <w:p>
      <w:pPr>
        <w:pStyle w:val="Bibliography"/>
      </w:pPr>
      <w:r>
        <w:t xml:space="preserve">Sverdrup, H. (1953). On conditions for the vernal blooming of phytoplankton.</w:t>
      </w:r>
      <w:r>
        <w:t xml:space="preserve"> </w:t>
      </w:r>
      <w:r>
        <w:rPr>
          <w:i/>
        </w:rPr>
        <w:t xml:space="preserve">Journal Du Conseil</w:t>
      </w:r>
      <w:r>
        <w:t xml:space="preserve">,</w:t>
      </w:r>
      <w:r>
        <w:t xml:space="preserve"> </w:t>
      </w:r>
      <w:r>
        <w:rPr>
          <w:i/>
        </w:rPr>
        <w:t xml:space="preserve">18</w:t>
      </w:r>
      <w:r>
        <w:t xml:space="preserve">(3), 287–295. Journal Article.</w:t>
      </w:r>
    </w:p>
    <w:bookmarkEnd w:id="33"/>
    <w:bookmarkEnd w:id="34"/>
    <w:sectPr w:rsidR="00381915" w:rsidRPr="005C42A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Wow, this project is so cool!</w:t>
      </w:r>
    </w:p>
  </w:footnote>
  <w:footnote w:id="23">
    <w:p>
      <w:pPr>
        <w:pStyle w:val="FootnoteText"/>
      </w:pPr>
      <w:r>
        <w:rPr>
          <w:rStyle w:val="FootnoteReference"/>
        </w:rPr>
        <w:footnoteRef/>
      </w:r>
      <w:r>
        <w:t xml:space="preserve"> </w:t>
      </w:r>
      <w:r>
        <w:t xml:space="preserve">Here’s another, free-written footnote!</w:t>
      </w:r>
    </w:p>
  </w:footnote>
  <w:footnote w:id="27">
    <w:p>
      <w:pPr>
        <w:pStyle w:val="FootnoteText"/>
      </w:pPr>
      <w:r>
        <w:rPr>
          <w:rStyle w:val="FootnoteReference"/>
        </w:rPr>
        <w:footnoteRef/>
      </w:r>
      <w:r>
        <w:t xml:space="preserve"> </w:t>
      </w:r>
      <w:r>
        <w:t xml:space="preserve">A footnote for this figure!</w:t>
      </w:r>
    </w:p>
  </w:footnote>
  <w:footnote w:id="29">
    <w:p>
      <w:pPr>
        <w:pStyle w:val="FootnoteText"/>
      </w:pPr>
      <w:r>
        <w:rPr>
          <w:rStyle w:val="FootnoteReference"/>
        </w:rPr>
        <w:footnoteRef/>
      </w:r>
      <w:r>
        <w:t xml:space="preserve"> </w:t>
      </w:r>
      <w:r>
        <w:t xml:space="preserve">Here is a Footnote for this table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4"/>
  </w:num>
  <w:num w:numId="4">
    <w:abstractNumId w:val="3"/>
  </w:num>
  <w:num w:numId="5">
    <w:abstractNumId w:val="5"/>
  </w:num>
  <w:num w:numId="6">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068B"/>
    <w:pPr>
      <w:spacing w:before="180" w:after="180"/>
    </w:pPr>
    <w:rPr>
      <w:rFonts w:ascii="Times New Roman" w:hAnsi="Times New Roman"/>
      <w:bCs/>
      <w:szCs w:val="22"/>
    </w:rPr>
  </w:style>
  <w:style w:type="paragraph" w:styleId="Heading1">
    <w:name w:val="heading 1"/>
    <w:basedOn w:val="Subtitle"/>
    <w:next w:val="BodyText"/>
    <w:autoRedefine/>
    <w:uiPriority w:val="9"/>
    <w:qFormat/>
    <w:rsid w:val="005C42A0"/>
    <w:pPr>
      <w:outlineLvl w:val="0"/>
    </w:pPr>
    <w:rPr>
      <w:sz w:val="36"/>
      <w:szCs w:val="36"/>
    </w:rPr>
  </w:style>
  <w:style w:type="paragraph" w:styleId="Heading2">
    <w:name w:val="heading 2"/>
    <w:basedOn w:val="Heading1"/>
    <w:next w:val="BodyText"/>
    <w:uiPriority w:val="9"/>
    <w:unhideWhenUsed/>
    <w:qFormat/>
    <w:rsid w:val="005C42A0"/>
    <w:pPr>
      <w:outlineLvl w:val="1"/>
    </w:pPr>
  </w:style>
  <w:style w:type="paragraph" w:styleId="Heading3">
    <w:name w:val="heading 3"/>
    <w:basedOn w:val="Heading1"/>
    <w:next w:val="BodyText"/>
    <w:uiPriority w:val="9"/>
    <w:unhideWhenUsed/>
    <w:qFormat/>
    <w:rsid w:val="005C42A0"/>
    <w:pPr>
      <w:outlineLvl w:val="2"/>
    </w:pPr>
    <w:rPr>
      <w:b w:val="0"/>
      <w:bCs/>
      <w:sz w:val="32"/>
      <w:szCs w:val="32"/>
    </w:rPr>
  </w:style>
  <w:style w:type="paragraph" w:styleId="Heading4">
    <w:name w:val="heading 4"/>
    <w:basedOn w:val="Heading1"/>
    <w:next w:val="BodyText"/>
    <w:uiPriority w:val="9"/>
    <w:unhideWhenUsed/>
    <w:qFormat/>
    <w:rsid w:val="005C42A0"/>
    <w:pPr>
      <w:outlineLvl w:val="3"/>
    </w:pPr>
    <w:rPr>
      <w:b w:val="0"/>
      <w:bCs/>
      <w:sz w:val="24"/>
      <w:szCs w:val="24"/>
    </w:rPr>
  </w:style>
  <w:style w:type="paragraph" w:styleId="Heading5">
    <w:name w:val="heading 5"/>
    <w:basedOn w:val="Heading1"/>
    <w:next w:val="BodyText"/>
    <w:uiPriority w:val="9"/>
    <w:unhideWhenUsed/>
    <w:qFormat/>
    <w:rsid w:val="005C42A0"/>
    <w:pPr>
      <w:outlineLvl w:val="4"/>
    </w:pPr>
    <w:rPr>
      <w:b w:val="0"/>
      <w:bCs/>
      <w:sz w:val="24"/>
      <w:szCs w:val="24"/>
    </w:rPr>
  </w:style>
  <w:style w:type="paragraph" w:styleId="Heading6">
    <w:name w:val="heading 6"/>
    <w:basedOn w:val="Heading1"/>
    <w:next w:val="BodyText"/>
    <w:uiPriority w:val="9"/>
    <w:unhideWhenUsed/>
    <w:qFormat/>
    <w:rsid w:val="005C42A0"/>
    <w:pPr>
      <w:outlineLvl w:val="5"/>
    </w:pPr>
    <w:rPr>
      <w:b w:val="0"/>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67B82"/>
  </w:style>
  <w:style w:type="paragraph" w:customStyle="1" w:styleId="FirstParagraph">
    <w:name w:val="First Paragraph"/>
    <w:basedOn w:val="BodyText"/>
    <w:next w:val="BodyText"/>
    <w:qFormat/>
    <w:rsid w:val="005C42A0"/>
  </w:style>
  <w:style w:type="paragraph" w:customStyle="1" w:styleId="Compact">
    <w:name w:val="Compact"/>
    <w:basedOn w:val="Normal"/>
    <w:qFormat/>
    <w:rsid w:val="007B3750"/>
    <w:pPr>
      <w:spacing w:after="0"/>
    </w:pPr>
    <w:rPr>
      <w:szCs w:val="20"/>
    </w:rPr>
  </w:style>
  <w:style w:type="paragraph" w:styleId="Title">
    <w:name w:val="Title"/>
    <w:basedOn w:val="Normal"/>
    <w:next w:val="BodyText"/>
    <w:link w:val="TitleChar"/>
    <w:qFormat/>
    <w:rsid w:val="007B3750"/>
    <w:pPr>
      <w:keepNext/>
      <w:keepLines/>
      <w:spacing w:before="120" w:after="120"/>
    </w:pPr>
    <w:rPr>
      <w:rFonts w:eastAsia="Calibri" w:cstheme="majorBidi"/>
      <w:b/>
      <w:bCs w:val="0"/>
      <w:sz w:val="52"/>
      <w:szCs w:val="52"/>
    </w:rPr>
  </w:style>
  <w:style w:type="paragraph" w:styleId="Subtitle">
    <w:name w:val="Subtitle"/>
    <w:basedOn w:val="Title"/>
    <w:next w:val="BodyText"/>
    <w:qFormat/>
    <w:rsid w:val="007B3750"/>
    <w:rPr>
      <w:sz w:val="44"/>
      <w:szCs w:val="4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spacing w:after="0"/>
      <w:jc w:val="right"/>
    </w:pPr>
    <w:rPr>
      <w:sz w:val="18"/>
      <w:szCs w:val="18"/>
    </w:rPr>
  </w:style>
  <w:style w:type="character" w:customStyle="1" w:styleId="BodyTextChar">
    <w:name w:val="Body Text Char"/>
    <w:basedOn w:val="DefaultParagraphFont"/>
    <w:link w:val="BodyText"/>
    <w:rsid w:val="00767B82"/>
    <w:rPr>
      <w:rFonts w:ascii="Arial Narrow" w:hAnsi="Arial Narrow"/>
      <w:color w:val="56575A"/>
      <w:sz w:val="22"/>
      <w:szCs w:val="22"/>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7B3750"/>
    <w:rPr>
      <w:rFonts w:ascii="Times New Roman" w:eastAsia="Calibri" w:hAnsi="Times New Roman" w:cstheme="majorBidi"/>
      <w:b/>
      <w:bCs/>
      <w:sz w:val="52"/>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5</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2020-12-03T06:12:50Z</dcterms:created>
  <dcterms:modified xsi:type="dcterms:W3CDTF">2020-12-03T06:12:50Z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../data/bibliography.bib</vt:lpwstr>
  </property>
  <property fmtid="{D5CDD505-2E9C-101B-9397-08002B2CF9AE}" pid="3" name="csl">
    <vt:lpwstr>../citationStyles/citationstyle.csl</vt:lpwstr>
  </property>
  <property fmtid="{D5CDD505-2E9C-101B-9397-08002B2CF9AE}" pid="4" name="date">
    <vt:lpwstr/>
  </property>
  <property fmtid="{D5CDD505-2E9C-101B-9397-08002B2CF9AE}" pid="5" name="link-citations">
    <vt:lpwstr>True</vt:lpwstr>
  </property>
  <property fmtid="{D5CDD505-2E9C-101B-9397-08002B2CF9AE}" pid="6" name="output">
    <vt:lpwstr/>
  </property>
  <property fmtid="{D5CDD505-2E9C-101B-9397-08002B2CF9AE}" pid="7" name="reference-section-title">
    <vt:lpwstr>References</vt:lpwstr>
  </property>
</Properties>
</file>