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4" w:name="about-example-2"/>
    <w:p>
      <w:pPr>
        <w:pStyle w:val="Heading1"/>
      </w:pPr>
      <w:r>
        <w:t xml:space="preserve">About example 2</w:t>
      </w:r>
    </w:p>
    <w:p>
      <w:pPr>
        <w:pStyle w:val="FirstParagraph"/>
      </w:pPr>
      <w:r>
        <w:t xml:space="preserve">This example expands on the previous example</w:t>
      </w:r>
      <w:r>
        <w:rPr>
          <w:rStyle w:val="FootnoteReference"/>
        </w:rPr>
        <w:footnoteReference w:id="20"/>
      </w:r>
      <w:r>
        <w:t xml:space="preserve">, but includes more skill building. Here you will learn:</w:t>
      </w:r>
    </w:p>
    <w:p>
      <w:pPr>
        <w:numPr>
          <w:ilvl w:val="0"/>
          <w:numId w:val="1001"/>
        </w:numPr>
        <w:pStyle w:val="Compact"/>
      </w:pPr>
      <w:r>
        <w:t xml:space="preserve">Cycle data through parent and child quarto docs</w:t>
      </w:r>
    </w:p>
    <w:p>
      <w:pPr>
        <w:numPr>
          <w:ilvl w:val="0"/>
          <w:numId w:val="1001"/>
        </w:numPr>
        <w:pStyle w:val="Compact"/>
      </w:pPr>
      <w:r>
        <w:t xml:space="preserve">Apply chunk names</w:t>
      </w:r>
    </w:p>
    <w:bookmarkStart w:id="21" w:name="madlib-responses"/>
    <w:p>
      <w:pPr>
        <w:pStyle w:val="Heading2"/>
      </w:pPr>
      <w:r>
        <w:t xml:space="preserve">MadLib Responses</w:t>
      </w:r>
    </w:p>
    <w:p>
      <w:pPr>
        <w:pStyle w:val="FirstParagraph"/>
      </w:pPr>
      <w:r>
        <w:t xml:space="preserve">These MadLib responses were generated on 2023-03-27.</w:t>
      </w:r>
    </w:p>
    <w:bookmarkEnd w:id="21"/>
    <w:bookmarkStart w:id="22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2"/>
    <w:bookmarkStart w:id="23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MadLib from: https://www.pinterest.com/pin/sample-best-of-mad-libs–845550898799970448/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2023-03-27T16:56:04Z</dcterms:created>
  <dcterms:modified xsi:type="dcterms:W3CDTF">2023-03-27T16:56:04Z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