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Assignment Final Draft </w:t>
      </w:r>
    </w:p>
    <w:p w:rsidR="00000000" w:rsidDel="00000000" w:rsidP="00000000" w:rsidRDefault="00000000" w:rsidRPr="00000000" w14:paraId="00000008">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Emily Proulx </w:t>
      </w:r>
    </w:p>
    <w:p w:rsidR="00000000" w:rsidDel="00000000" w:rsidP="00000000" w:rsidRDefault="00000000" w:rsidRPr="00000000" w14:paraId="00000009">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July 2026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Assignment Final Draft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first-time prep of ENC 3314: Writing and Rhetoric Foundations, delivered fully asynchronously online. The course description for ENC 3314 is as follows: </w:t>
      </w:r>
      <w:r w:rsidDel="00000000" w:rsidR="00000000" w:rsidRPr="00000000">
        <w:rPr>
          <w:rFonts w:ascii="Times New Roman" w:cs="Times New Roman" w:eastAsia="Times New Roman" w:hAnsi="Times New Roman"/>
          <w:sz w:val="24"/>
          <w:szCs w:val="24"/>
          <w:highlight w:val="white"/>
          <w:rtl w:val="0"/>
        </w:rPr>
        <w:t xml:space="preserve">Introduction to and application of rhetorical skills and concepts that enable advanced (inter)disciplinary writing and research within and beyond the university. </w:t>
      </w:r>
      <w:r w:rsidDel="00000000" w:rsidR="00000000" w:rsidRPr="00000000">
        <w:rPr>
          <w:rFonts w:ascii="Times New Roman" w:cs="Times New Roman" w:eastAsia="Times New Roman" w:hAnsi="Times New Roman"/>
          <w:sz w:val="24"/>
          <w:szCs w:val="24"/>
          <w:rtl w:val="0"/>
        </w:rPr>
        <w:t xml:space="preserve">The population will be mixed with students in the Writing and Rhetoric major, Writing and Rhetoric minor, and students completing the professional writing certificate. That mix means uneven prior exposure to Writing Studies as a discipline. Some students arrive having already taken theory-adjacent courses, while others are encountering these concepts for the first time. The assignment is written to assume no prior theoretical fluency and to treat the five threshold concepts as entry points rather than review. I’m being asked to teach this course for the first time this upcoming fall to help with the rollout of our new curriculum for the Writing and Rhetoric BA. The goal is to add more digital competencies and a richer understanding of how rhetoric applies interdisciplinarily.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Pedagogically, this assignment will be the culmination of work in Unit 1, before students have engaged deeply with disciplinary scholarship and research methods (Unit 2) or with competing definitions of rhetoric (Unit 3). Because it’s early, the emphasis is on building comfort with the vocabulary and stance of the field (naming concepts, applying them to something the student already knows intimately) rather than asking students to evaluate scholarship they haven’t encountered yet. I will also use this as an opportunity to build community in the course, as students will have multiple chances to workshop and share their work with each other and me. This assignment works toward the following course outcomes: </w:t>
      </w:r>
    </w:p>
    <w:p w:rsidR="00000000" w:rsidDel="00000000" w:rsidP="00000000" w:rsidRDefault="00000000" w:rsidRPr="00000000" w14:paraId="0000000E">
      <w:pPr>
        <w:numPr>
          <w:ilvl w:val="0"/>
          <w:numId w:val="2"/>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Generate an understanding of Writing and Rhetoric disciplinary perspectives, including the research and processes used to develop those perspectives.</w:t>
      </w:r>
      <w:r w:rsidDel="00000000" w:rsidR="00000000" w:rsidRPr="00000000">
        <w:rPr>
          <w:rtl w:val="0"/>
        </w:rPr>
      </w:r>
    </w:p>
    <w:p w:rsidR="00000000" w:rsidDel="00000000" w:rsidP="00000000" w:rsidRDefault="00000000" w:rsidRPr="00000000" w14:paraId="0000000F">
      <w:pPr>
        <w:numPr>
          <w:ilvl w:val="0"/>
          <w:numId w:val="2"/>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Practice applying rhetorical concepts— such as rhetorical situation, genre, transfer, reflection—strategically to support their own writing processes and knowledge construction.</w:t>
      </w:r>
      <w:r w:rsidDel="00000000" w:rsidR="00000000" w:rsidRPr="00000000">
        <w:rPr>
          <w:rtl w:val="0"/>
        </w:rPr>
      </w:r>
    </w:p>
    <w:p w:rsidR="00000000" w:rsidDel="00000000" w:rsidP="00000000" w:rsidRDefault="00000000" w:rsidRPr="00000000" w14:paraId="00000010">
      <w:pPr>
        <w:numPr>
          <w:ilvl w:val="0"/>
          <w:numId w:val="2"/>
        </w:numPr>
        <w:spacing w:after="1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Develop a reflective, aspirational writerly identity for effective communication across platforms, including an ePortfolio/ professional website.</w:t>
      </w:r>
    </w:p>
    <w:p w:rsidR="00000000" w:rsidDel="00000000" w:rsidP="00000000" w:rsidRDefault="00000000" w:rsidRPr="00000000" w14:paraId="00000011">
      <w:pPr>
        <w:spacing w:after="160"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readings throughout the unit, I will assign multiple sections of </w:t>
      </w:r>
      <w:r w:rsidDel="00000000" w:rsidR="00000000" w:rsidRPr="00000000">
        <w:rPr>
          <w:rFonts w:ascii="Times New Roman" w:cs="Times New Roman" w:eastAsia="Times New Roman" w:hAnsi="Times New Roman"/>
          <w:i w:val="1"/>
          <w:iCs w:val="1"/>
          <w:sz w:val="24"/>
          <w:szCs w:val="24"/>
          <w:highlight w:val="white"/>
          <w:rtl w:val="0"/>
        </w:rPr>
        <w:t xml:space="preserve">Naming What We Know</w:t>
      </w:r>
      <w:r w:rsidDel="00000000" w:rsidR="00000000" w:rsidRPr="00000000">
        <w:rPr>
          <w:rFonts w:ascii="Times New Roman" w:cs="Times New Roman" w:eastAsia="Times New Roman" w:hAnsi="Times New Roman"/>
          <w:sz w:val="24"/>
          <w:szCs w:val="24"/>
          <w:highlight w:val="white"/>
          <w:rtl w:val="0"/>
        </w:rPr>
        <w:t xml:space="preserve">, as well as other articles about threshold concepts and the study of writing. The following is a starting list I have developed for this assignment: </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Devitt, A. J. (2004). Chapter 2, An analysis of genres in social settings. In Writing </w:t>
      </w:r>
      <w:r w:rsidDel="00000000" w:rsidR="00000000" w:rsidRPr="00000000">
        <w:rPr>
          <w:rFonts w:ascii="Times New Roman" w:cs="Times New Roman" w:eastAsia="Times New Roman" w:hAnsi="Times New Roman"/>
          <w:sz w:val="24"/>
          <w:szCs w:val="24"/>
          <w:rtl w:val="0"/>
        </w:rPr>
        <w:t xml:space="preserve">Genres (pp. 33-65). Southern Illinois University Press.</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Meyer, J. H. F., &amp; Land, R. (2005). Threshold concepts and troublesome knowledge: Epistemological considerations and a conceptual framework for teaching and learning. Higher Education, 49(3), 373-388. </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Naming What We Know, "Concept 1: Writing is a Social and Rhetorical Activity"</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Scott, J. B., &amp; Wardle, E. (2015). Using threshold concepts to inform writing and rhetoric undergraduate majors: The UCF experiment. In L. Addler-Kassner &amp; E. Wardle's (Eds.) Naming what we know: Threshold concepts of writing studies. (pp. 122-140). </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Yancey, K. B. (2018). Mapping the turn to disciplinarity: A historical analysis of composition's trajectory and its current movement. In R. Malenczyk, et al. (Eds.) Composition, Rhetoric, and Disciplinarity (pp. 15-35).</w:t>
      </w:r>
      <w:r w:rsidDel="00000000" w:rsidR="00000000" w:rsidRPr="00000000">
        <w:rPr>
          <w:rtl w:val="0"/>
        </w:rPr>
      </w:r>
    </w:p>
    <w:p w:rsidR="00000000" w:rsidDel="00000000" w:rsidP="00000000" w:rsidRDefault="00000000" w:rsidRPr="00000000" w14:paraId="00000017">
      <w:pPr>
        <w:pStyle w:val="Title"/>
        <w:spacing w:after="160" w:line="480" w:lineRule="auto"/>
        <w:ind w:left="720" w:firstLine="0"/>
        <w:jc w:val="center"/>
        <w:rPr/>
      </w:pPr>
      <w:bookmarkStart w:colFirst="0" w:colLast="0" w:name="_uaczr9x0rvoi" w:id="0"/>
      <w:bookmarkEnd w:id="0"/>
      <w:r w:rsidDel="00000000" w:rsidR="00000000" w:rsidRPr="00000000">
        <w:br w:type="page"/>
      </w:r>
      <w:r w:rsidDel="00000000" w:rsidR="00000000" w:rsidRPr="00000000">
        <w:rPr>
          <w:rtl w:val="0"/>
        </w:rPr>
        <w:t xml:space="preserve">The Writerly Identity Excavation</w:t>
      </w:r>
    </w:p>
    <w:p w:rsidR="00000000" w:rsidDel="00000000" w:rsidP="00000000" w:rsidRDefault="00000000" w:rsidRPr="00000000" w14:paraId="00000018">
      <w:pPr>
        <w:spacing w:after="160" w:line="480" w:lineRule="auto"/>
        <w:ind w:left="720" w:firstLine="0"/>
        <w:jc w:val="center"/>
        <w:rPr>
          <w:i w:val="1"/>
          <w:iCs w:val="1"/>
        </w:rPr>
      </w:pPr>
      <w:r w:rsidDel="00000000" w:rsidR="00000000" w:rsidRPr="00000000">
        <w:rPr>
          <w:i w:val="1"/>
          <w:iCs w:val="1"/>
          <w:rtl w:val="0"/>
        </w:rPr>
        <w:t xml:space="preserve">ENC 3314: Writing and Rhetoric Foundations Unit 1 Signature Assignment</w:t>
      </w:r>
    </w:p>
    <w:p w:rsidR="00000000" w:rsidDel="00000000" w:rsidP="00000000" w:rsidRDefault="00000000" w:rsidRPr="00000000" w14:paraId="00000019">
      <w:pPr>
        <w:pStyle w:val="Heading1"/>
        <w:rPr/>
      </w:pPr>
      <w:bookmarkStart w:colFirst="0" w:colLast="0" w:name="_yd2lmrm9fhxx" w:id="1"/>
      <w:bookmarkEnd w:id="1"/>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tl w:val="0"/>
        </w:rPr>
        <w:t xml:space="preserve">Your writerly identity has been shaped by teachers, family, languages, communities, platforms, and institutions, most of it without much choice in the matter. This assignment asks you to stop and examine that shaping deliberately, using the threshold concepts of Writing and Rhetoric as your analytical tools.</w:t>
      </w:r>
    </w:p>
    <w:p w:rsidR="00000000" w:rsidDel="00000000" w:rsidP="00000000" w:rsidRDefault="00000000" w:rsidRPr="00000000" w14:paraId="0000001B">
      <w:pPr>
        <w:spacing w:after="160" w:lineRule="auto"/>
        <w:rPr/>
      </w:pPr>
      <w:r w:rsidDel="00000000" w:rsidR="00000000" w:rsidRPr="00000000">
        <w:rPr>
          <w:rtl w:val="0"/>
        </w:rPr>
        <w:t xml:space="preserve">Threshold concepts are ideas that, once understood, change how you see an entire field. Wardle and Adler-Kassner’s </w:t>
      </w:r>
      <w:r w:rsidDel="00000000" w:rsidR="00000000" w:rsidRPr="00000000">
        <w:rPr>
          <w:i w:val="1"/>
          <w:iCs w:val="1"/>
          <w:rtl w:val="0"/>
        </w:rPr>
        <w:t xml:space="preserve">Naming What We Know </w:t>
      </w:r>
      <w:r w:rsidDel="00000000" w:rsidR="00000000" w:rsidRPr="00000000">
        <w:rPr>
          <w:rtl w:val="0"/>
        </w:rPr>
        <w:t xml:space="preserve">identifies five threshold concepts of writing that anchor this course:</w:t>
      </w:r>
    </w:p>
    <w:p w:rsidR="00000000" w:rsidDel="00000000" w:rsidP="00000000" w:rsidRDefault="00000000" w:rsidRPr="00000000" w14:paraId="0000001C">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Writing is a social and rhetorical activity.</w:t>
      </w:r>
    </w:p>
    <w:p w:rsidR="00000000" w:rsidDel="00000000" w:rsidP="00000000" w:rsidRDefault="00000000" w:rsidRPr="00000000" w14:paraId="0000001D">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Writing speaks to situations through recognizable forms.</w:t>
      </w:r>
    </w:p>
    <w:p w:rsidR="00000000" w:rsidDel="00000000" w:rsidP="00000000" w:rsidRDefault="00000000" w:rsidRPr="00000000" w14:paraId="0000001E">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Writing enacts and creates identities and ideologies.</w:t>
      </w:r>
    </w:p>
    <w:p w:rsidR="00000000" w:rsidDel="00000000" w:rsidP="00000000" w:rsidRDefault="00000000" w:rsidRPr="00000000" w14:paraId="0000001F">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writers have more to learn.</w:t>
      </w:r>
    </w:p>
    <w:p w:rsidR="00000000" w:rsidDel="00000000" w:rsidP="00000000" w:rsidRDefault="00000000" w:rsidRPr="00000000" w14:paraId="00000020">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Writing is (also always) a cognitive activity.</w:t>
      </w:r>
    </w:p>
    <w:p w:rsidR="00000000" w:rsidDel="00000000" w:rsidP="00000000" w:rsidRDefault="00000000" w:rsidRPr="00000000" w14:paraId="00000021">
      <w:pPr>
        <w:spacing w:after="160" w:lineRule="auto"/>
        <w:rPr/>
      </w:pPr>
      <w:r w:rsidDel="00000000" w:rsidR="00000000" w:rsidRPr="00000000">
        <w:rPr>
          <w:rtl w:val="0"/>
        </w:rPr>
        <w:t xml:space="preserve">This assignment asks you to use these concepts to interrogate your writerly history: the people, places, languages, and experiences that shaped who you are as a writer. What did they teach you that writing was? Whose writing did they hold up as the standard, and whose did they ignore? What did they reward, and what did they punish? What did you internalize that you have never examined? What resources did they give you, and what did they withhold?</w:t>
      </w:r>
    </w:p>
    <w:p w:rsidR="00000000" w:rsidDel="00000000" w:rsidP="00000000" w:rsidRDefault="00000000" w:rsidRPr="00000000" w14:paraId="00000022">
      <w:pPr>
        <w:spacing w:after="160" w:lineRule="auto"/>
        <w:rPr/>
      </w:pPr>
      <w:r w:rsidDel="00000000" w:rsidR="00000000" w:rsidRPr="00000000">
        <w:rPr>
          <w:rtl w:val="0"/>
        </w:rPr>
        <w:t xml:space="preserve">While excavation often only looks backward, this course asks you to think forward, too. Once you’ve unearthed how you became this kind of writer, use that understanding to sketch the writer you’re working to become. The goal is a more critical, specific, theoretically grounded account of your writerly identity—past, present, and aspirational—that will orient you for the rest of the course and lay groundwork for the ePortfolio you’ll build later this semester.</w:t>
      </w:r>
    </w:p>
    <w:p w:rsidR="00000000" w:rsidDel="00000000" w:rsidP="00000000" w:rsidRDefault="00000000" w:rsidRPr="00000000" w14:paraId="00000023">
      <w:pPr>
        <w:pStyle w:val="Heading1"/>
        <w:rPr/>
      </w:pPr>
      <w:bookmarkStart w:colFirst="0" w:colLast="0" w:name="_mvqzhuvak5ez" w:id="2"/>
      <w:bookmarkEnd w:id="2"/>
      <w:r w:rsidDel="00000000" w:rsidR="00000000" w:rsidRPr="00000000">
        <w:rPr>
          <w:rtl w:val="0"/>
        </w:rPr>
        <w:t xml:space="preserve">Task</w:t>
      </w:r>
    </w:p>
    <w:p w:rsidR="00000000" w:rsidDel="00000000" w:rsidP="00000000" w:rsidRDefault="00000000" w:rsidRPr="00000000" w14:paraId="00000024">
      <w:pPr>
        <w:spacing w:after="160" w:lineRule="auto"/>
        <w:rPr/>
      </w:pPr>
      <w:r w:rsidDel="00000000" w:rsidR="00000000" w:rsidRPr="00000000">
        <w:rPr>
          <w:rtl w:val="0"/>
        </w:rPr>
        <w:t xml:space="preserve">You will produce two artifacts for this assignment: </w:t>
      </w:r>
    </w:p>
    <w:p w:rsidR="00000000" w:rsidDel="00000000" w:rsidP="00000000" w:rsidRDefault="00000000" w:rsidRPr="00000000" w14:paraId="00000025">
      <w:pPr>
        <w:pStyle w:val="Heading2"/>
        <w:rPr/>
      </w:pPr>
      <w:bookmarkStart w:colFirst="0" w:colLast="0" w:name="_qjy8qq2fc4gz" w:id="3"/>
      <w:bookmarkEnd w:id="3"/>
      <w:r w:rsidDel="00000000" w:rsidR="00000000" w:rsidRPr="00000000">
        <w:rPr>
          <w:rtl w:val="0"/>
        </w:rPr>
        <w:t xml:space="preserve">1. The Excavation</w:t>
      </w:r>
    </w:p>
    <w:p w:rsidR="00000000" w:rsidDel="00000000" w:rsidP="00000000" w:rsidRDefault="00000000" w:rsidRPr="00000000" w14:paraId="00000026">
      <w:pPr>
        <w:spacing w:after="160" w:lineRule="auto"/>
        <w:rPr/>
      </w:pPr>
      <w:r w:rsidDel="00000000" w:rsidR="00000000" w:rsidRPr="00000000">
        <w:rPr>
          <w:rtl w:val="0"/>
        </w:rPr>
        <w:t xml:space="preserve">A multimodal piece that examines your writerly history and gestures toward your aspirational writerly identity. The form is yours to choose, and should be the form that best fits what you have to say. Possibilities include (but are not limited to): a zine, an annotated photo essay, a designed document, an audio piece with visual accompaniment, a short video essay, an illustrated map, a digital collage, or an annotated archive of past writing. If you have another form in mind, propose it. </w:t>
      </w:r>
    </w:p>
    <w:p w:rsidR="00000000" w:rsidDel="00000000" w:rsidP="00000000" w:rsidRDefault="00000000" w:rsidRPr="00000000" w14:paraId="00000027">
      <w:pPr>
        <w:spacing w:after="160" w:lineRule="auto"/>
        <w:rPr/>
      </w:pPr>
      <w:r w:rsidDel="00000000" w:rsidR="00000000" w:rsidRPr="00000000">
        <w:rPr>
          <w:rtl w:val="0"/>
        </w:rPr>
        <w:t xml:space="preserve">You will propose your excavation genre during Week 3. You must have an approved proposal before submitting this final assignment. </w:t>
      </w:r>
    </w:p>
    <w:p w:rsidR="00000000" w:rsidDel="00000000" w:rsidP="00000000" w:rsidRDefault="00000000" w:rsidRPr="00000000" w14:paraId="00000028">
      <w:pPr>
        <w:pStyle w:val="Heading3"/>
        <w:keepNext w:val="0"/>
        <w:keepLines w:val="0"/>
        <w:spacing w:before="480" w:lineRule="auto"/>
        <w:rPr/>
      </w:pPr>
      <w:bookmarkStart w:colFirst="0" w:colLast="0" w:name="_3i9683u4d8u" w:id="4"/>
      <w:bookmarkEnd w:id="4"/>
      <w:r w:rsidDel="00000000" w:rsidR="00000000" w:rsidRPr="00000000">
        <w:rPr>
          <w:rtl w:val="0"/>
        </w:rPr>
        <w:t xml:space="preserve">Accessibility Requirements</w:t>
      </w:r>
    </w:p>
    <w:p w:rsidR="00000000" w:rsidDel="00000000" w:rsidP="00000000" w:rsidRDefault="00000000" w:rsidRPr="00000000" w14:paraId="00000029">
      <w:pPr>
        <w:spacing w:after="160" w:lineRule="auto"/>
        <w:rPr/>
      </w:pPr>
      <w:r w:rsidDel="00000000" w:rsidR="00000000" w:rsidRPr="00000000">
        <w:rPr>
          <w:rtl w:val="0"/>
        </w:rPr>
        <w:t xml:space="preserve">Because this is an async online course and the Excavation’s form is open, accessibility is your responsibility as the designer, not an afterthought. Whatever form you choose:</w:t>
      </w:r>
    </w:p>
    <w:p w:rsidR="00000000" w:rsidDel="00000000" w:rsidP="00000000" w:rsidRDefault="00000000" w:rsidRPr="00000000" w14:paraId="0000002A">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Images need alt text or an equivalent written description.</w:t>
      </w:r>
    </w:p>
    <w:p w:rsidR="00000000" w:rsidDel="00000000" w:rsidP="00000000" w:rsidRDefault="00000000" w:rsidRPr="00000000" w14:paraId="0000002B">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Audio and video need captions or a transcript.</w:t>
      </w:r>
    </w:p>
    <w:p w:rsidR="00000000" w:rsidDel="00000000" w:rsidP="00000000" w:rsidRDefault="00000000" w:rsidRPr="00000000" w14:paraId="0000002C">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Color should not be the only way information is conveyed (for colorblind and low-vision readers).</w:t>
      </w:r>
    </w:p>
    <w:p w:rsidR="00000000" w:rsidDel="00000000" w:rsidP="00000000" w:rsidRDefault="00000000" w:rsidRPr="00000000" w14:paraId="0000002D">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Submit in a file format your classmates and instructor can actually open (check before you finalize a niche tool or plugin).</w:t>
      </w:r>
    </w:p>
    <w:p w:rsidR="00000000" w:rsidDel="00000000" w:rsidP="00000000" w:rsidRDefault="00000000" w:rsidRPr="00000000" w14:paraId="0000002E">
      <w:pPr>
        <w:spacing w:after="160" w:lineRule="auto"/>
        <w:rPr/>
      </w:pPr>
      <w:r w:rsidDel="00000000" w:rsidR="00000000" w:rsidRPr="00000000">
        <w:rPr>
          <w:rtl w:val="0"/>
        </w:rPr>
        <w:t xml:space="preserve">If you’re unsure how to make your chosen form accessible, make use of office hours and the weekly modules for help. </w:t>
      </w:r>
    </w:p>
    <w:p w:rsidR="00000000" w:rsidDel="00000000" w:rsidP="00000000" w:rsidRDefault="00000000" w:rsidRPr="00000000" w14:paraId="0000002F">
      <w:pPr>
        <w:pStyle w:val="Heading2"/>
        <w:rPr/>
      </w:pPr>
      <w:bookmarkStart w:colFirst="0" w:colLast="0" w:name="_4tj3pdm42sms" w:id="5"/>
      <w:bookmarkEnd w:id="5"/>
      <w:r w:rsidDel="00000000" w:rsidR="00000000" w:rsidRPr="00000000">
        <w:rPr>
          <w:rtl w:val="0"/>
        </w:rPr>
        <w:t xml:space="preserve">2. The Designer’s Reflection</w:t>
      </w:r>
    </w:p>
    <w:p w:rsidR="00000000" w:rsidDel="00000000" w:rsidP="00000000" w:rsidRDefault="00000000" w:rsidRPr="00000000" w14:paraId="00000030">
      <w:pPr>
        <w:spacing w:after="160" w:lineRule="auto"/>
        <w:rPr/>
      </w:pPr>
      <w:r w:rsidDel="00000000" w:rsidR="00000000" w:rsidRPr="00000000">
        <w:rPr>
          <w:rtl w:val="0"/>
        </w:rPr>
        <w:t xml:space="preserve">A companion piece (750–1000 words) in which you:</w:t>
      </w:r>
    </w:p>
    <w:p w:rsidR="00000000" w:rsidDel="00000000" w:rsidP="00000000" w:rsidRDefault="00000000" w:rsidRPr="00000000" w14:paraId="00000031">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the rhetorical choices you made in the Excavation — audience, purpose, genre — and why the form you chose was the right vehicle for your argument.</w:t>
      </w:r>
    </w:p>
    <w:p w:rsidR="00000000" w:rsidDel="00000000" w:rsidP="00000000" w:rsidRDefault="00000000" w:rsidRPr="00000000" w14:paraId="00000032">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Engage explicitly with course material, naming the threshold concepts or readings that shaped your thinking.</w:t>
      </w:r>
    </w:p>
    <w:p w:rsidR="00000000" w:rsidDel="00000000" w:rsidP="00000000" w:rsidRDefault="00000000" w:rsidRPr="00000000" w14:paraId="00000033">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Provide a technological disclosure: a candid account of every tool you used to make the Excavation (including generative AI), including what you used it for, and how it shaped what you made.</w:t>
      </w:r>
    </w:p>
    <w:p w:rsidR="00000000" w:rsidDel="00000000" w:rsidP="00000000" w:rsidRDefault="00000000" w:rsidRPr="00000000" w14:paraId="00000034">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Reflect on transfer: name at least one thing from this project (a concept, a practice, a question) that you expect to carry into future writing situations, including the ePortfolio you’ll build later in the course.</w:t>
      </w:r>
    </w:p>
    <w:p w:rsidR="00000000" w:rsidDel="00000000" w:rsidP="00000000" w:rsidRDefault="00000000" w:rsidRPr="00000000" w14:paraId="00000035">
      <w:pPr>
        <w:spacing w:after="100" w:lineRule="auto"/>
        <w:ind w:left="0" w:firstLine="0"/>
        <w:rPr/>
      </w:pPr>
      <w:r w:rsidDel="00000000" w:rsidR="00000000" w:rsidRPr="00000000">
        <w:rPr>
          <w:rtl w:val="0"/>
        </w:rPr>
        <w:t xml:space="preserve">This reflection should be in MLA or APA format with specific references to </w:t>
      </w:r>
      <w:r w:rsidDel="00000000" w:rsidR="00000000" w:rsidRPr="00000000">
        <w:rPr>
          <w:i w:val="1"/>
          <w:iCs w:val="1"/>
          <w:rtl w:val="0"/>
        </w:rPr>
        <w:t xml:space="preserve">Naming What We Know</w:t>
      </w:r>
      <w:r w:rsidDel="00000000" w:rsidR="00000000" w:rsidRPr="00000000">
        <w:rPr>
          <w:rtl w:val="0"/>
        </w:rPr>
        <w:t xml:space="preserve"> and other course readings. </w:t>
      </w:r>
    </w:p>
    <w:p w:rsidR="00000000" w:rsidDel="00000000" w:rsidP="00000000" w:rsidRDefault="00000000" w:rsidRPr="00000000" w14:paraId="00000036">
      <w:pPr>
        <w:pStyle w:val="Heading1"/>
        <w:keepNext w:val="0"/>
        <w:keepLines w:val="0"/>
        <w:spacing w:before="480" w:lineRule="auto"/>
        <w:rPr/>
      </w:pPr>
      <w:bookmarkStart w:colFirst="0" w:colLast="0" w:name="_3b3b03cfl0dv" w:id="6"/>
      <w:bookmarkEnd w:id="6"/>
      <w:r w:rsidDel="00000000" w:rsidR="00000000" w:rsidRPr="00000000">
        <w:rPr>
          <w:rtl w:val="0"/>
        </w:rPr>
        <w:t xml:space="preserve">Criteria</w:t>
      </w:r>
    </w:p>
    <w:p w:rsidR="00000000" w:rsidDel="00000000" w:rsidP="00000000" w:rsidRDefault="00000000" w:rsidRPr="00000000" w14:paraId="00000037">
      <w:pPr>
        <w:spacing w:after="160" w:lineRule="auto"/>
        <w:rPr/>
      </w:pPr>
      <w:r w:rsidDel="00000000" w:rsidR="00000000" w:rsidRPr="00000000">
        <w:rPr>
          <w:rtl w:val="0"/>
        </w:rPr>
        <w:t xml:space="preserve">Strong work on this assignment will:</w:t>
      </w:r>
    </w:p>
    <w:p w:rsidR="00000000" w:rsidDel="00000000" w:rsidP="00000000" w:rsidRDefault="00000000" w:rsidRPr="00000000" w14:paraId="00000038">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at least three threshold concepts accurately and specifically, with evidence drawn from your own history rather than a generic summary.</w:t>
      </w:r>
    </w:p>
    <w:p w:rsidR="00000000" w:rsidDel="00000000" w:rsidP="00000000" w:rsidRDefault="00000000" w:rsidRPr="00000000" w14:paraId="00000039">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Choose a form for the Excavation that is a genuine rhetorical choice, and defend that choice in the Designer’s Reflection.</w:t>
      </w:r>
    </w:p>
    <w:p w:rsidR="00000000" w:rsidDel="00000000" w:rsidP="00000000" w:rsidRDefault="00000000" w:rsidRPr="00000000" w14:paraId="0000003A">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Move beyond narration to analysis: both pieces should ask “why” and “so what,” not just “what happened.”</w:t>
      </w:r>
    </w:p>
    <w:p w:rsidR="00000000" w:rsidDel="00000000" w:rsidP="00000000" w:rsidRDefault="00000000" w:rsidRPr="00000000" w14:paraId="0000003B">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Look forward as well as back, sketching an aspirational writerly identity alongside the examination of the past.</w:t>
      </w:r>
    </w:p>
    <w:p w:rsidR="00000000" w:rsidDel="00000000" w:rsidP="00000000" w:rsidRDefault="00000000" w:rsidRPr="00000000" w14:paraId="0000003C">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Include a complete, honest technological disclosure.</w:t>
      </w:r>
    </w:p>
    <w:p w:rsidR="00000000" w:rsidDel="00000000" w:rsidP="00000000" w:rsidRDefault="00000000" w:rsidRPr="00000000" w14:paraId="0000003D">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Meet accessibility requirements.</w:t>
      </w:r>
    </w:p>
    <w:p w:rsidR="00000000" w:rsidDel="00000000" w:rsidP="00000000" w:rsidRDefault="00000000" w:rsidRPr="00000000" w14:paraId="0000003E">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Follow the AI use guidelines below, disclosed honestly in the Designer’s Reflection.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980"/>
        <w:gridCol w:w="1830"/>
        <w:gridCol w:w="1830"/>
        <w:gridCol w:w="1770"/>
        <w:tblGridChange w:id="0">
          <w:tblGrid>
            <w:gridCol w:w="1935"/>
            <w:gridCol w:w="1980"/>
            <w:gridCol w:w="1830"/>
            <w:gridCol w:w="1830"/>
            <w:gridCol w:w="1770"/>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1f3b57" w:val="clear"/>
            <w:tcMar>
              <w:top w:w="100.0" w:type="dxa"/>
              <w:left w:w="120.0" w:type="dxa"/>
              <w:bottom w:w="100.0" w:type="dxa"/>
              <w:right w:w="120.0" w:type="dxa"/>
            </w:tcMar>
            <w:vAlign w:val="top"/>
          </w:tcPr>
          <w:p w:rsidR="00000000" w:rsidDel="00000000" w:rsidP="00000000" w:rsidRDefault="00000000" w:rsidRPr="00000000" w14:paraId="00000041">
            <w:pPr>
              <w:rPr>
                <w:b w:val="1"/>
                <w:bCs w:val="1"/>
                <w:color w:val="ffffff"/>
                <w:sz w:val="20"/>
                <w:szCs w:val="20"/>
              </w:rPr>
            </w:pPr>
            <w:r w:rsidDel="00000000" w:rsidR="00000000" w:rsidRPr="00000000">
              <w:rPr>
                <w:b w:val="1"/>
                <w:bCs w:val="1"/>
                <w:color w:val="ffffff"/>
                <w:sz w:val="20"/>
                <w:szCs w:val="20"/>
                <w:rtl w:val="0"/>
              </w:rPr>
              <w:t xml:space="preserve">Criterion</w:t>
            </w:r>
          </w:p>
        </w:tc>
        <w:tc>
          <w:tcPr>
            <w:tcBorders>
              <w:top w:color="cccccc" w:space="0" w:sz="6" w:val="single"/>
              <w:left w:color="000000" w:space="0" w:sz="0" w:val="nil"/>
              <w:bottom w:color="cccccc" w:space="0" w:sz="6" w:val="single"/>
              <w:right w:color="cccccc" w:space="0" w:sz="6" w:val="single"/>
            </w:tcBorders>
            <w:shd w:fill="1f3b57" w:val="clear"/>
            <w:tcMar>
              <w:top w:w="100.0" w:type="dxa"/>
              <w:left w:w="120.0" w:type="dxa"/>
              <w:bottom w:w="100.0" w:type="dxa"/>
              <w:right w:w="120.0" w:type="dxa"/>
            </w:tcMar>
            <w:vAlign w:val="top"/>
          </w:tcPr>
          <w:p w:rsidR="00000000" w:rsidDel="00000000" w:rsidP="00000000" w:rsidRDefault="00000000" w:rsidRPr="00000000" w14:paraId="00000042">
            <w:pPr>
              <w:rPr>
                <w:b w:val="1"/>
                <w:bCs w:val="1"/>
                <w:color w:val="ffffff"/>
                <w:sz w:val="20"/>
                <w:szCs w:val="20"/>
              </w:rPr>
            </w:pPr>
            <w:r w:rsidDel="00000000" w:rsidR="00000000" w:rsidRPr="00000000">
              <w:rPr>
                <w:b w:val="1"/>
                <w:bCs w:val="1"/>
                <w:color w:val="ffffff"/>
                <w:sz w:val="20"/>
                <w:szCs w:val="20"/>
                <w:rtl w:val="0"/>
              </w:rPr>
              <w:t xml:space="preserve">Exemplary</w:t>
            </w:r>
          </w:p>
        </w:tc>
        <w:tc>
          <w:tcPr>
            <w:tcBorders>
              <w:top w:color="cccccc" w:space="0" w:sz="6" w:val="single"/>
              <w:left w:color="000000" w:space="0" w:sz="0" w:val="nil"/>
              <w:bottom w:color="cccccc" w:space="0" w:sz="6" w:val="single"/>
              <w:right w:color="cccccc" w:space="0" w:sz="6" w:val="single"/>
            </w:tcBorders>
            <w:shd w:fill="1f3b57" w:val="clear"/>
            <w:tcMar>
              <w:top w:w="100.0" w:type="dxa"/>
              <w:left w:w="120.0" w:type="dxa"/>
              <w:bottom w:w="100.0" w:type="dxa"/>
              <w:right w:w="120.0" w:type="dxa"/>
            </w:tcMar>
            <w:vAlign w:val="top"/>
          </w:tcPr>
          <w:p w:rsidR="00000000" w:rsidDel="00000000" w:rsidP="00000000" w:rsidRDefault="00000000" w:rsidRPr="00000000" w14:paraId="00000043">
            <w:pPr>
              <w:rPr>
                <w:b w:val="1"/>
                <w:bCs w:val="1"/>
                <w:color w:val="ffffff"/>
                <w:sz w:val="20"/>
                <w:szCs w:val="20"/>
              </w:rPr>
            </w:pPr>
            <w:r w:rsidDel="00000000" w:rsidR="00000000" w:rsidRPr="00000000">
              <w:rPr>
                <w:b w:val="1"/>
                <w:bCs w:val="1"/>
                <w:color w:val="ffffff"/>
                <w:sz w:val="20"/>
                <w:szCs w:val="20"/>
                <w:rtl w:val="0"/>
              </w:rPr>
              <w:t xml:space="preserve">Proficient</w:t>
            </w:r>
          </w:p>
        </w:tc>
        <w:tc>
          <w:tcPr>
            <w:tcBorders>
              <w:top w:color="cccccc" w:space="0" w:sz="6" w:val="single"/>
              <w:left w:color="000000" w:space="0" w:sz="0" w:val="nil"/>
              <w:bottom w:color="cccccc" w:space="0" w:sz="6" w:val="single"/>
              <w:right w:color="cccccc" w:space="0" w:sz="6" w:val="single"/>
            </w:tcBorders>
            <w:shd w:fill="1f3b57" w:val="clear"/>
            <w:tcMar>
              <w:top w:w="100.0" w:type="dxa"/>
              <w:left w:w="120.0" w:type="dxa"/>
              <w:bottom w:w="100.0" w:type="dxa"/>
              <w:right w:w="120.0" w:type="dxa"/>
            </w:tcMar>
            <w:vAlign w:val="top"/>
          </w:tcPr>
          <w:p w:rsidR="00000000" w:rsidDel="00000000" w:rsidP="00000000" w:rsidRDefault="00000000" w:rsidRPr="00000000" w14:paraId="00000044">
            <w:pPr>
              <w:rPr>
                <w:b w:val="1"/>
                <w:bCs w:val="1"/>
                <w:color w:val="ffffff"/>
                <w:sz w:val="20"/>
                <w:szCs w:val="20"/>
              </w:rPr>
            </w:pPr>
            <w:r w:rsidDel="00000000" w:rsidR="00000000" w:rsidRPr="00000000">
              <w:rPr>
                <w:b w:val="1"/>
                <w:bCs w:val="1"/>
                <w:color w:val="ffffff"/>
                <w:sz w:val="20"/>
                <w:szCs w:val="20"/>
                <w:rtl w:val="0"/>
              </w:rPr>
              <w:t xml:space="preserve">Developing</w:t>
            </w:r>
          </w:p>
        </w:tc>
        <w:tc>
          <w:tcPr>
            <w:tcBorders>
              <w:top w:color="cccccc" w:space="0" w:sz="6" w:val="single"/>
              <w:left w:color="000000" w:space="0" w:sz="0" w:val="nil"/>
              <w:bottom w:color="cccccc" w:space="0" w:sz="6" w:val="single"/>
              <w:right w:color="cccccc" w:space="0" w:sz="6" w:val="single"/>
            </w:tcBorders>
            <w:shd w:fill="1f3b57" w:val="clear"/>
            <w:tcMar>
              <w:top w:w="100.0" w:type="dxa"/>
              <w:left w:w="120.0" w:type="dxa"/>
              <w:bottom w:w="100.0" w:type="dxa"/>
              <w:right w:w="120.0" w:type="dxa"/>
            </w:tcMar>
            <w:vAlign w:val="top"/>
          </w:tcPr>
          <w:p w:rsidR="00000000" w:rsidDel="00000000" w:rsidP="00000000" w:rsidRDefault="00000000" w:rsidRPr="00000000" w14:paraId="00000045">
            <w:pPr>
              <w:rPr>
                <w:b w:val="1"/>
                <w:bCs w:val="1"/>
                <w:color w:val="ffffff"/>
                <w:sz w:val="20"/>
                <w:szCs w:val="20"/>
              </w:rPr>
            </w:pPr>
            <w:r w:rsidDel="00000000" w:rsidR="00000000" w:rsidRPr="00000000">
              <w:rPr>
                <w:b w:val="1"/>
                <w:bCs w:val="1"/>
                <w:color w:val="ffffff"/>
                <w:sz w:val="20"/>
                <w:szCs w:val="20"/>
                <w:rtl w:val="0"/>
              </w:rPr>
              <w:t xml:space="preserve">Beginning</w:t>
            </w:r>
          </w:p>
        </w:tc>
      </w:tr>
      <w:tr>
        <w:trPr>
          <w:cantSplit w:val="0"/>
          <w:trHeight w:val="1125" w:hRule="atLeast"/>
          <w:tblHeader w:val="0"/>
        </w:trPr>
        <w:tc>
          <w:tcPr>
            <w:tcBorders>
              <w:top w:color="000000" w:space="0" w:sz="0" w:val="nil"/>
              <w:left w:color="cccccc" w:space="0" w:sz="6" w:val="single"/>
              <w:bottom w:color="cccccc" w:space="0" w:sz="6" w:val="single"/>
              <w:right w:color="cccccc" w:space="0" w:sz="6" w:val="single"/>
            </w:tcBorders>
            <w:shd w:fill="eaf0f5" w:val="clear"/>
            <w:tcMar>
              <w:top w:w="100.0" w:type="dxa"/>
              <w:left w:w="120.0" w:type="dxa"/>
              <w:bottom w:w="100.0" w:type="dxa"/>
              <w:right w:w="120.0" w:type="dxa"/>
            </w:tcMar>
            <w:vAlign w:val="top"/>
          </w:tcPr>
          <w:p w:rsidR="00000000" w:rsidDel="00000000" w:rsidP="00000000" w:rsidRDefault="00000000" w:rsidRPr="00000000" w14:paraId="00000046">
            <w:pPr>
              <w:rPr>
                <w:b w:val="1"/>
                <w:bCs w:val="1"/>
                <w:sz w:val="20"/>
                <w:szCs w:val="20"/>
              </w:rPr>
            </w:pPr>
            <w:r w:rsidDel="00000000" w:rsidR="00000000" w:rsidRPr="00000000">
              <w:rPr>
                <w:b w:val="1"/>
                <w:bCs w:val="1"/>
                <w:sz w:val="20"/>
                <w:szCs w:val="20"/>
                <w:rtl w:val="0"/>
              </w:rPr>
              <w:t xml:space="preserve">Threshold Concept Application (25 pts)</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3+ concepts applied precisely, with specific personal evidence.</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3 concepts applied, evidence sometimes general.</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Fewer than 3 concepts, or applied loosely/by name only.</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Concepts absent or misapplied.</w:t>
            </w:r>
          </w:p>
        </w:tc>
      </w:tr>
      <w:tr>
        <w:trPr>
          <w:cantSplit w:val="0"/>
          <w:trHeight w:val="1365" w:hRule="atLeast"/>
          <w:tblHeader w:val="0"/>
        </w:trPr>
        <w:tc>
          <w:tcPr>
            <w:tcBorders>
              <w:top w:color="000000" w:space="0" w:sz="0" w:val="nil"/>
              <w:left w:color="cccccc" w:space="0" w:sz="6" w:val="single"/>
              <w:bottom w:color="cccccc" w:space="0" w:sz="6" w:val="single"/>
              <w:right w:color="cccccc" w:space="0" w:sz="6" w:val="single"/>
            </w:tcBorders>
            <w:shd w:fill="eaf0f5" w:val="clear"/>
            <w:tcMar>
              <w:top w:w="100.0" w:type="dxa"/>
              <w:left w:w="120.0" w:type="dxa"/>
              <w:bottom w:w="100.0" w:type="dxa"/>
              <w:right w:w="120.0" w:type="dxa"/>
            </w:tcMar>
            <w:vAlign w:val="top"/>
          </w:tcPr>
          <w:p w:rsidR="00000000" w:rsidDel="00000000" w:rsidP="00000000" w:rsidRDefault="00000000" w:rsidRPr="00000000" w14:paraId="0000004B">
            <w:pPr>
              <w:rPr>
                <w:b w:val="1"/>
                <w:bCs w:val="1"/>
                <w:sz w:val="20"/>
                <w:szCs w:val="20"/>
              </w:rPr>
            </w:pPr>
            <w:r w:rsidDel="00000000" w:rsidR="00000000" w:rsidRPr="00000000">
              <w:rPr>
                <w:b w:val="1"/>
                <w:bCs w:val="1"/>
                <w:sz w:val="20"/>
                <w:szCs w:val="20"/>
                <w:rtl w:val="0"/>
              </w:rPr>
              <w:t xml:space="preserve">Rhetorical &amp; Genre Choice-Making (20 pts)</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Form is clearly deliberate and well-defended; audience/purpose explicit.</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Form suits the argument; justification is present but thin.</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Form feels like a default choice; little justification.</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No evident rationale for form.</w:t>
            </w:r>
          </w:p>
        </w:tc>
      </w:tr>
      <w:tr>
        <w:trPr>
          <w:cantSplit w:val="0"/>
          <w:trHeight w:val="1125" w:hRule="atLeast"/>
          <w:tblHeader w:val="0"/>
        </w:trPr>
        <w:tc>
          <w:tcPr>
            <w:tcBorders>
              <w:top w:color="000000" w:space="0" w:sz="0" w:val="nil"/>
              <w:left w:color="cccccc" w:space="0" w:sz="6" w:val="single"/>
              <w:bottom w:color="cccccc" w:space="0" w:sz="6" w:val="single"/>
              <w:right w:color="cccccc" w:space="0" w:sz="6" w:val="single"/>
            </w:tcBorders>
            <w:shd w:fill="eaf0f5" w:val="clear"/>
            <w:tcMar>
              <w:top w:w="100.0" w:type="dxa"/>
              <w:left w:w="120.0" w:type="dxa"/>
              <w:bottom w:w="100.0" w:type="dxa"/>
              <w:right w:w="120.0" w:type="dxa"/>
            </w:tcMar>
            <w:vAlign w:val="top"/>
          </w:tcPr>
          <w:p w:rsidR="00000000" w:rsidDel="00000000" w:rsidP="00000000" w:rsidRDefault="00000000" w:rsidRPr="00000000" w14:paraId="00000050">
            <w:pPr>
              <w:rPr>
                <w:b w:val="1"/>
                <w:bCs w:val="1"/>
                <w:sz w:val="20"/>
                <w:szCs w:val="20"/>
              </w:rPr>
            </w:pPr>
            <w:r w:rsidDel="00000000" w:rsidR="00000000" w:rsidRPr="00000000">
              <w:rPr>
                <w:b w:val="1"/>
                <w:bCs w:val="1"/>
                <w:sz w:val="20"/>
                <w:szCs w:val="20"/>
                <w:rtl w:val="0"/>
              </w:rPr>
              <w:t xml:space="preserve">Analytical Depth (20 pts)</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51">
            <w:pPr>
              <w:rPr>
                <w:sz w:val="20"/>
                <w:szCs w:val="20"/>
              </w:rPr>
            </w:pPr>
            <w:r w:rsidDel="00000000" w:rsidR="00000000" w:rsidRPr="00000000">
              <w:rPr>
                <w:sz w:val="20"/>
                <w:szCs w:val="20"/>
                <w:rtl w:val="0"/>
              </w:rPr>
              <w:t xml:space="preserve">Consistently asks “why”/“so what”; genuine critical distance.</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Mostly analytical, some narration-only passages.</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Mostly narration with occasional analysis.</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54">
            <w:pPr>
              <w:rPr>
                <w:sz w:val="20"/>
                <w:szCs w:val="20"/>
              </w:rPr>
            </w:pPr>
            <w:r w:rsidDel="00000000" w:rsidR="00000000" w:rsidRPr="00000000">
              <w:rPr>
                <w:sz w:val="20"/>
                <w:szCs w:val="20"/>
                <w:rtl w:val="0"/>
              </w:rPr>
              <w:t xml:space="preserve">Narration only; no analysis.</w:t>
            </w:r>
          </w:p>
        </w:tc>
      </w:tr>
      <w:tr>
        <w:trPr>
          <w:cantSplit w:val="0"/>
          <w:trHeight w:val="1125" w:hRule="atLeast"/>
          <w:tblHeader w:val="0"/>
        </w:trPr>
        <w:tc>
          <w:tcPr>
            <w:tcBorders>
              <w:top w:color="000000" w:space="0" w:sz="0" w:val="nil"/>
              <w:left w:color="cccccc" w:space="0" w:sz="6" w:val="single"/>
              <w:bottom w:color="cccccc" w:space="0" w:sz="6" w:val="single"/>
              <w:right w:color="cccccc" w:space="0" w:sz="6" w:val="single"/>
            </w:tcBorders>
            <w:shd w:fill="eaf0f5" w:val="clear"/>
            <w:tcMar>
              <w:top w:w="100.0" w:type="dxa"/>
              <w:left w:w="120.0" w:type="dxa"/>
              <w:bottom w:w="100.0" w:type="dxa"/>
              <w:right w:w="120.0" w:type="dxa"/>
            </w:tcMar>
            <w:vAlign w:val="top"/>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Aspirational / Forward Component (10 pts)</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Specific, grounded vision of the writer you’re becoming.</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A forward-looking gesture is present, but missing specifics </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Brief or vague forward-looking mention.</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Backward-looking only.</w:t>
            </w:r>
          </w:p>
        </w:tc>
      </w:tr>
      <w:tr>
        <w:trPr>
          <w:cantSplit w:val="0"/>
          <w:trHeight w:val="1590" w:hRule="atLeast"/>
          <w:tblHeader w:val="0"/>
        </w:trPr>
        <w:tc>
          <w:tcPr>
            <w:tcBorders>
              <w:top w:color="000000" w:space="0" w:sz="0" w:val="nil"/>
              <w:left w:color="cccccc" w:space="0" w:sz="6" w:val="single"/>
              <w:bottom w:color="cccccc" w:space="0" w:sz="6" w:val="single"/>
              <w:right w:color="cccccc" w:space="0" w:sz="6" w:val="single"/>
            </w:tcBorders>
            <w:shd w:fill="eaf0f5" w:val="clear"/>
            <w:tcMar>
              <w:top w:w="100.0" w:type="dxa"/>
              <w:left w:w="120.0" w:type="dxa"/>
              <w:bottom w:w="100.0" w:type="dxa"/>
              <w:right w:w="120.0" w:type="dxa"/>
            </w:tcMar>
            <w:vAlign w:val="top"/>
          </w:tcPr>
          <w:p w:rsidR="00000000" w:rsidDel="00000000" w:rsidP="00000000" w:rsidRDefault="00000000" w:rsidRPr="00000000" w14:paraId="0000005A">
            <w:pPr>
              <w:rPr>
                <w:b w:val="1"/>
                <w:bCs w:val="1"/>
                <w:sz w:val="20"/>
                <w:szCs w:val="20"/>
              </w:rPr>
            </w:pPr>
            <w:r w:rsidDel="00000000" w:rsidR="00000000" w:rsidRPr="00000000">
              <w:rPr>
                <w:b w:val="1"/>
                <w:bCs w:val="1"/>
                <w:sz w:val="20"/>
                <w:szCs w:val="20"/>
                <w:rtl w:val="0"/>
              </w:rPr>
              <w:t xml:space="preserve">Designer’s Reflection &amp; Transfer (15 pts)</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Rich engagement with course material; specific, credible transfer statement.</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Solid engagement; transfer statement present but generic.</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Thin engagement; transfer statement missing or vague.</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Reflection largely absent.</w:t>
            </w:r>
          </w:p>
        </w:tc>
      </w:tr>
      <w:tr>
        <w:trPr>
          <w:cantSplit w:val="0"/>
          <w:trHeight w:val="1125" w:hRule="atLeast"/>
          <w:tblHeader w:val="0"/>
        </w:trPr>
        <w:tc>
          <w:tcPr>
            <w:tcBorders>
              <w:top w:color="000000" w:space="0" w:sz="0" w:val="nil"/>
              <w:left w:color="cccccc" w:space="0" w:sz="6" w:val="single"/>
              <w:bottom w:color="cccccc" w:space="0" w:sz="6" w:val="single"/>
              <w:right w:color="cccccc" w:space="0" w:sz="6" w:val="single"/>
            </w:tcBorders>
            <w:shd w:fill="eaf0f5" w:val="clear"/>
            <w:tcMar>
              <w:top w:w="100.0" w:type="dxa"/>
              <w:left w:w="120.0" w:type="dxa"/>
              <w:bottom w:w="100.0" w:type="dxa"/>
              <w:right w:w="120.0" w:type="dxa"/>
            </w:tcMar>
            <w:vAlign w:val="top"/>
          </w:tcPr>
          <w:p w:rsidR="00000000" w:rsidDel="00000000" w:rsidP="00000000" w:rsidRDefault="00000000" w:rsidRPr="00000000" w14:paraId="0000005F">
            <w:pPr>
              <w:rPr>
                <w:b w:val="1"/>
                <w:bCs w:val="1"/>
                <w:sz w:val="20"/>
                <w:szCs w:val="20"/>
              </w:rPr>
            </w:pPr>
            <w:r w:rsidDel="00000000" w:rsidR="00000000" w:rsidRPr="00000000">
              <w:rPr>
                <w:b w:val="1"/>
                <w:bCs w:val="1"/>
                <w:sz w:val="20"/>
                <w:szCs w:val="20"/>
                <w:rtl w:val="0"/>
              </w:rPr>
              <w:t xml:space="preserve">Technology Disclosure &amp; Accessibility (10 pts)</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Complete, honest disclosure; artifact fully accessible.</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Log present with minor gaps; mostly accessible.</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Log incomplete or vague; accessibility gaps.</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No log; not accessible.</w:t>
            </w:r>
          </w:p>
        </w:tc>
      </w:tr>
    </w:tbl>
    <w:p w:rsidR="00000000" w:rsidDel="00000000" w:rsidP="00000000" w:rsidRDefault="00000000" w:rsidRPr="00000000" w14:paraId="00000064">
      <w:pPr>
        <w:spacing w:after="160" w:lineRule="auto"/>
        <w:rPr/>
      </w:pPr>
      <w:r w:rsidDel="00000000" w:rsidR="00000000" w:rsidRPr="00000000">
        <w:rPr>
          <w:rtl w:val="0"/>
        </w:rPr>
        <w:t xml:space="preserve"> </w:t>
      </w:r>
    </w:p>
    <w:p w:rsidR="00000000" w:rsidDel="00000000" w:rsidP="00000000" w:rsidRDefault="00000000" w:rsidRPr="00000000" w14:paraId="00000065">
      <w:pPr>
        <w:pStyle w:val="Heading2"/>
        <w:keepNext w:val="0"/>
        <w:keepLines w:val="0"/>
        <w:spacing w:before="480" w:lineRule="auto"/>
        <w:rPr/>
      </w:pPr>
      <w:bookmarkStart w:colFirst="0" w:colLast="0" w:name="_igjjadr0uj5h" w:id="7"/>
      <w:bookmarkEnd w:id="7"/>
      <w:r w:rsidDel="00000000" w:rsidR="00000000" w:rsidRPr="00000000">
        <w:rPr>
          <w:rtl w:val="0"/>
        </w:rPr>
        <w:t xml:space="preserve">Timeline &amp; Scaffolding</w:t>
      </w:r>
    </w:p>
    <w:p w:rsidR="00000000" w:rsidDel="00000000" w:rsidP="00000000" w:rsidRDefault="00000000" w:rsidRPr="00000000" w14:paraId="00000066">
      <w:pPr>
        <w:spacing w:after="160" w:lineRule="auto"/>
        <w:rPr/>
      </w:pPr>
      <w:r w:rsidDel="00000000" w:rsidR="00000000" w:rsidRPr="00000000">
        <w:rPr>
          <w:rtl w:val="0"/>
        </w:rPr>
        <w:t xml:space="preserve">This project is scaffolded across several weeks, so you have low-stakes room to experiment before anything is graded. Adjust the week numbers below to match your course calendar.</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380"/>
        <w:tblGridChange w:id="0">
          <w:tblGrid>
            <w:gridCol w:w="1965"/>
            <w:gridCol w:w="7380"/>
          </w:tblGrid>
        </w:tblGridChange>
      </w:tblGrid>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1f3b57" w:val="clear"/>
            <w:tcMar>
              <w:top w:w="100.0" w:type="dxa"/>
              <w:left w:w="120.0" w:type="dxa"/>
              <w:bottom w:w="100.0" w:type="dxa"/>
              <w:right w:w="120.0" w:type="dxa"/>
            </w:tcMar>
            <w:vAlign w:val="top"/>
          </w:tcPr>
          <w:p w:rsidR="00000000" w:rsidDel="00000000" w:rsidP="00000000" w:rsidRDefault="00000000" w:rsidRPr="00000000" w14:paraId="00000067">
            <w:pPr>
              <w:rPr>
                <w:b w:val="1"/>
                <w:bCs w:val="1"/>
                <w:color w:val="ffffff"/>
              </w:rPr>
            </w:pPr>
            <w:r w:rsidDel="00000000" w:rsidR="00000000" w:rsidRPr="00000000">
              <w:rPr>
                <w:b w:val="1"/>
                <w:bCs w:val="1"/>
                <w:color w:val="ffffff"/>
                <w:rtl w:val="0"/>
              </w:rPr>
              <w:t xml:space="preserve">When</w:t>
            </w:r>
          </w:p>
        </w:tc>
        <w:tc>
          <w:tcPr>
            <w:tcBorders>
              <w:top w:color="cccccc" w:space="0" w:sz="6" w:val="single"/>
              <w:left w:color="000000" w:space="0" w:sz="0" w:val="nil"/>
              <w:bottom w:color="cccccc" w:space="0" w:sz="6" w:val="single"/>
              <w:right w:color="cccccc" w:space="0" w:sz="6" w:val="single"/>
            </w:tcBorders>
            <w:shd w:fill="1f3b57" w:val="clear"/>
            <w:tcMar>
              <w:top w:w="100.0" w:type="dxa"/>
              <w:left w:w="120.0" w:type="dxa"/>
              <w:bottom w:w="100.0" w:type="dxa"/>
              <w:right w:w="120.0" w:type="dxa"/>
            </w:tcMar>
            <w:vAlign w:val="top"/>
          </w:tcPr>
          <w:p w:rsidR="00000000" w:rsidDel="00000000" w:rsidP="00000000" w:rsidRDefault="00000000" w:rsidRPr="00000000" w14:paraId="00000068">
            <w:pPr>
              <w:rPr>
                <w:b w:val="1"/>
                <w:bCs w:val="1"/>
                <w:color w:val="ffffff"/>
              </w:rPr>
            </w:pPr>
            <w:r w:rsidDel="00000000" w:rsidR="00000000" w:rsidRPr="00000000">
              <w:rPr>
                <w:b w:val="1"/>
                <w:bCs w:val="1"/>
                <w:color w:val="ffffff"/>
                <w:rtl w:val="0"/>
              </w:rPr>
              <w:t xml:space="preserve">What</w:t>
            </w:r>
          </w:p>
        </w:tc>
      </w:tr>
      <w:tr>
        <w:trPr>
          <w:cantSplit w:val="0"/>
          <w:trHeight w:val="1230" w:hRule="atLeast"/>
          <w:tblHeader w:val="0"/>
        </w:trPr>
        <w:tc>
          <w:tcPr>
            <w:tcBorders>
              <w:top w:color="000000" w:space="0" w:sz="0" w:val="nil"/>
              <w:left w:color="cccccc" w:space="0" w:sz="6" w:val="single"/>
              <w:bottom w:color="cccccc" w:space="0" w:sz="6" w:val="single"/>
              <w:right w:color="cccccc" w:space="0" w:sz="6" w:val="single"/>
            </w:tcBorders>
            <w:shd w:fill="eaf0f5" w:val="clear"/>
            <w:tcMar>
              <w:top w:w="100.0" w:type="dxa"/>
              <w:left w:w="120.0" w:type="dxa"/>
              <w:bottom w:w="100.0" w:type="dxa"/>
              <w:right w:w="120.0" w:type="dxa"/>
            </w:tcMar>
            <w:vAlign w:val="top"/>
          </w:tcPr>
          <w:p w:rsidR="00000000" w:rsidDel="00000000" w:rsidP="00000000" w:rsidRDefault="00000000" w:rsidRPr="00000000" w14:paraId="00000069">
            <w:pPr>
              <w:rPr>
                <w:b w:val="1"/>
                <w:bCs w:val="1"/>
              </w:rPr>
            </w:pPr>
            <w:r w:rsidDel="00000000" w:rsidR="00000000" w:rsidRPr="00000000">
              <w:rPr>
                <w:b w:val="1"/>
                <w:bCs w:val="1"/>
                <w:rtl w:val="0"/>
              </w:rPr>
              <w:t xml:space="preserve">Week 2</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6A">
            <w:pPr>
              <w:rPr/>
            </w:pPr>
            <w:r w:rsidDel="00000000" w:rsidR="00000000" w:rsidRPr="00000000">
              <w:rPr>
                <w:rtl w:val="0"/>
              </w:rPr>
              <w:t xml:space="preserve">Play week. Low-stakes, ungraded experimentation with two or three multimodal tools or genres (e.g., a quick zine page, a 30-second audio clip, a mock-up in a design tool). </w:t>
            </w:r>
          </w:p>
        </w:tc>
      </w:tr>
      <w:tr>
        <w:trPr>
          <w:cantSplit w:val="0"/>
          <w:trHeight w:val="1230" w:hRule="atLeast"/>
          <w:tblHeader w:val="0"/>
        </w:trPr>
        <w:tc>
          <w:tcPr>
            <w:tcBorders>
              <w:top w:color="000000" w:space="0" w:sz="0" w:val="nil"/>
              <w:left w:color="cccccc" w:space="0" w:sz="6" w:val="single"/>
              <w:bottom w:color="cccccc" w:space="0" w:sz="6" w:val="single"/>
              <w:right w:color="cccccc" w:space="0" w:sz="6" w:val="single"/>
            </w:tcBorders>
            <w:shd w:fill="eaf0f5" w:val="clear"/>
            <w:tcMar>
              <w:top w:w="100.0" w:type="dxa"/>
              <w:left w:w="120.0" w:type="dxa"/>
              <w:bottom w:w="100.0" w:type="dxa"/>
              <w:right w:w="120.0" w:type="dxa"/>
            </w:tcMar>
            <w:vAlign w:val="top"/>
          </w:tcPr>
          <w:p w:rsidR="00000000" w:rsidDel="00000000" w:rsidP="00000000" w:rsidRDefault="00000000" w:rsidRPr="00000000" w14:paraId="0000006B">
            <w:pPr>
              <w:rPr>
                <w:b w:val="1"/>
                <w:bCs w:val="1"/>
              </w:rPr>
            </w:pPr>
            <w:r w:rsidDel="00000000" w:rsidR="00000000" w:rsidRPr="00000000">
              <w:rPr>
                <w:b w:val="1"/>
                <w:bCs w:val="1"/>
                <w:rtl w:val="0"/>
              </w:rPr>
              <w:t xml:space="preserve">Week 3</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6C">
            <w:pPr>
              <w:rPr/>
            </w:pPr>
            <w:r w:rsidDel="00000000" w:rsidR="00000000" w:rsidRPr="00000000">
              <w:rPr>
                <w:rtl w:val="0"/>
              </w:rPr>
              <w:t xml:space="preserve">Continue exploring tools. Submit a short topic-and-medium proposal (which experiences you’re excavating, which threshold concepts you expect to use, and what form you’re leaning toward) for instructor feedback.</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shd w:fill="eaf0f5" w:val="clear"/>
            <w:tcMar>
              <w:top w:w="100.0" w:type="dxa"/>
              <w:left w:w="120.0" w:type="dxa"/>
              <w:bottom w:w="100.0" w:type="dxa"/>
              <w:right w:w="120.0" w:type="dxa"/>
            </w:tcMar>
            <w:vAlign w:val="top"/>
          </w:tcPr>
          <w:p w:rsidR="00000000" w:rsidDel="00000000" w:rsidP="00000000" w:rsidRDefault="00000000" w:rsidRPr="00000000" w14:paraId="0000006D">
            <w:pPr>
              <w:rPr>
                <w:b w:val="1"/>
                <w:bCs w:val="1"/>
              </w:rPr>
            </w:pPr>
            <w:r w:rsidDel="00000000" w:rsidR="00000000" w:rsidRPr="00000000">
              <w:rPr>
                <w:b w:val="1"/>
                <w:bCs w:val="1"/>
                <w:rtl w:val="0"/>
              </w:rPr>
              <w:t xml:space="preserve">Week 4</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6E">
            <w:pPr>
              <w:rPr/>
            </w:pPr>
            <w:r w:rsidDel="00000000" w:rsidR="00000000" w:rsidRPr="00000000">
              <w:rPr>
                <w:rtl w:val="0"/>
              </w:rPr>
              <w:t xml:space="preserve">Draft development. Work-in-progress check-in on the Excavation.</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shd w:fill="eaf0f5" w:val="clear"/>
            <w:tcMar>
              <w:top w:w="100.0" w:type="dxa"/>
              <w:left w:w="120.0" w:type="dxa"/>
              <w:bottom w:w="100.0" w:type="dxa"/>
              <w:right w:w="120.0" w:type="dxa"/>
            </w:tcMar>
            <w:vAlign w:val="top"/>
          </w:tcPr>
          <w:p w:rsidR="00000000" w:rsidDel="00000000" w:rsidP="00000000" w:rsidRDefault="00000000" w:rsidRPr="00000000" w14:paraId="0000006F">
            <w:pPr>
              <w:rPr>
                <w:b w:val="1"/>
                <w:bCs w:val="1"/>
              </w:rPr>
            </w:pPr>
            <w:r w:rsidDel="00000000" w:rsidR="00000000" w:rsidRPr="00000000">
              <w:rPr>
                <w:b w:val="1"/>
                <w:bCs w:val="1"/>
                <w:rtl w:val="0"/>
              </w:rPr>
              <w:t xml:space="preserve">Week 5</w:t>
            </w:r>
          </w:p>
        </w:tc>
        <w:tc>
          <w:tcPr>
            <w:tcBorders>
              <w:top w:color="000000" w:space="0" w:sz="0" w:val="nil"/>
              <w:left w:color="000000" w:space="0" w:sz="0" w:val="nil"/>
              <w:bottom w:color="cccccc" w:space="0" w:sz="6" w:val="single"/>
              <w:right w:color="cccccc" w:space="0" w:sz="6" w:val="single"/>
            </w:tcBorders>
            <w:tcMar>
              <w:top w:w="100.0" w:type="dxa"/>
              <w:left w:w="120.0" w:type="dxa"/>
              <w:bottom w:w="100.0" w:type="dxa"/>
              <w:right w:w="120.0" w:type="dxa"/>
            </w:tcMar>
            <w:vAlign w:val="top"/>
          </w:tcPr>
          <w:p w:rsidR="00000000" w:rsidDel="00000000" w:rsidP="00000000" w:rsidRDefault="00000000" w:rsidRPr="00000000" w14:paraId="00000070">
            <w:pPr>
              <w:rPr/>
            </w:pPr>
            <w:r w:rsidDel="00000000" w:rsidR="00000000" w:rsidRPr="00000000">
              <w:rPr>
                <w:rtl w:val="0"/>
              </w:rPr>
              <w:t xml:space="preserve">Excavation and Designer’s Reflection due.</w:t>
            </w:r>
          </w:p>
        </w:tc>
      </w:tr>
    </w:tbl>
    <w:p w:rsidR="00000000" w:rsidDel="00000000" w:rsidP="00000000" w:rsidRDefault="00000000" w:rsidRPr="00000000" w14:paraId="00000071">
      <w:pPr>
        <w:spacing w:after="160" w:lineRule="auto"/>
        <w:rPr/>
      </w:pPr>
      <w:r w:rsidDel="00000000" w:rsidR="00000000" w:rsidRPr="00000000">
        <w:rPr>
          <w:rtl w:val="0"/>
        </w:rPr>
        <w:t xml:space="preserve"> </w:t>
      </w:r>
    </w:p>
    <w:p w:rsidR="00000000" w:rsidDel="00000000" w:rsidP="00000000" w:rsidRDefault="00000000" w:rsidRPr="00000000" w14:paraId="00000072">
      <w:pPr>
        <w:pStyle w:val="Heading1"/>
        <w:rPr/>
      </w:pPr>
      <w:bookmarkStart w:colFirst="0" w:colLast="0" w:name="_gus0vt91k4mz" w:id="8"/>
      <w:bookmarkEnd w:id="8"/>
      <w:r w:rsidDel="00000000" w:rsidR="00000000" w:rsidRPr="00000000">
        <w:rPr>
          <w:rtl w:val="0"/>
        </w:rPr>
        <w:t xml:space="preserve">Generative AI Use</w:t>
      </w:r>
    </w:p>
    <w:p w:rsidR="00000000" w:rsidDel="00000000" w:rsidP="00000000" w:rsidRDefault="00000000" w:rsidRPr="00000000" w14:paraId="00000073">
      <w:pPr>
        <w:spacing w:after="160" w:lineRule="auto"/>
        <w:rPr/>
      </w:pPr>
      <w:r w:rsidDel="00000000" w:rsidR="00000000" w:rsidRPr="00000000">
        <w:rPr>
          <w:rtl w:val="0"/>
        </w:rPr>
        <w:t xml:space="preserve">Generative AI tools are part of the landscape you write in, and this course does not ask you to pretend otherwise. Rather than banning these tools, this assignment asks you to think about how to use them without letting them replace the thinking and learning you’re here to do. The core principle: AI cannot do your thinking for you. It is a tool, not a replacement — a distinction that connects directly to threshold concept 5, writing is (also always) a cognitive activity. If a tool does your thinking, you skip the cognitive work this assignment is designed to build.</w:t>
      </w:r>
    </w:p>
    <w:p w:rsidR="00000000" w:rsidDel="00000000" w:rsidP="00000000" w:rsidRDefault="00000000" w:rsidRPr="00000000" w14:paraId="00000074">
      <w:pPr>
        <w:pStyle w:val="Heading2"/>
        <w:rPr/>
      </w:pPr>
      <w:bookmarkStart w:colFirst="0" w:colLast="0" w:name="_e2q8nfbx3mu0" w:id="9"/>
      <w:bookmarkEnd w:id="9"/>
      <w:r w:rsidDel="00000000" w:rsidR="00000000" w:rsidRPr="00000000">
        <w:rPr>
          <w:rFonts w:ascii="Arial Unicode MS" w:cs="Arial Unicode MS" w:eastAsia="Arial Unicode MS" w:hAnsi="Arial Unicode MS"/>
          <w:rtl w:val="0"/>
        </w:rPr>
        <w:t xml:space="preserve">✓  Appropriate use</w:t>
      </w:r>
    </w:p>
    <w:p w:rsidR="00000000" w:rsidDel="00000000" w:rsidP="00000000" w:rsidRDefault="00000000" w:rsidRPr="00000000" w14:paraId="00000075">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Using AI to help you brainstorm which experiences from your history feel most analytically rich.</w:t>
      </w:r>
    </w:p>
    <w:p w:rsidR="00000000" w:rsidDel="00000000" w:rsidP="00000000" w:rsidRDefault="00000000" w:rsidRPr="00000000" w14:paraId="00000076">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Asking AI to explain what a course concept means before you apply it to your own experience.</w:t>
      </w:r>
    </w:p>
    <w:p w:rsidR="00000000" w:rsidDel="00000000" w:rsidP="00000000" w:rsidRDefault="00000000" w:rsidRPr="00000000" w14:paraId="00000077">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Getting feedback on whether a sentence is clear.</w:t>
      </w:r>
    </w:p>
    <w:p w:rsidR="00000000" w:rsidDel="00000000" w:rsidP="00000000" w:rsidRDefault="00000000" w:rsidRPr="00000000" w14:paraId="00000078">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Using AI to look up what a particular tool or genre convention is called.</w:t>
      </w:r>
    </w:p>
    <w:p w:rsidR="00000000" w:rsidDel="00000000" w:rsidP="00000000" w:rsidRDefault="00000000" w:rsidRPr="00000000" w14:paraId="00000079">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Asking AI to suggest multimodal forms you hadn’t considered, then deciding for yourself whether they fit your argument.</w:t>
      </w:r>
    </w:p>
    <w:p w:rsidR="00000000" w:rsidDel="00000000" w:rsidP="00000000" w:rsidRDefault="00000000" w:rsidRPr="00000000" w14:paraId="0000007A">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your Excavation involves code (e.g., a website or interactive piece), you may use AI to help you write or debug that code.</w:t>
      </w:r>
    </w:p>
    <w:p w:rsidR="00000000" w:rsidDel="00000000" w:rsidP="00000000" w:rsidRDefault="00000000" w:rsidRPr="00000000" w14:paraId="0000007B">
      <w:pPr>
        <w:pStyle w:val="Heading2"/>
        <w:rPr/>
      </w:pPr>
      <w:bookmarkStart w:colFirst="0" w:colLast="0" w:name="_vekst4o502ms" w:id="10"/>
      <w:bookmarkEnd w:id="10"/>
      <w:r w:rsidDel="00000000" w:rsidR="00000000" w:rsidRPr="00000000">
        <w:rPr>
          <w:rFonts w:ascii="Arial Unicode MS" w:cs="Arial Unicode MS" w:eastAsia="Arial Unicode MS" w:hAnsi="Arial Unicode MS"/>
          <w:rtl w:val="0"/>
        </w:rPr>
        <w:t xml:space="preserve">✕  Not appropriate</w:t>
      </w:r>
    </w:p>
    <w:p w:rsidR="00000000" w:rsidDel="00000000" w:rsidP="00000000" w:rsidRDefault="00000000" w:rsidRPr="00000000" w14:paraId="0000007C">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Asking AI to generate the analysis of your writerly history.</w:t>
      </w:r>
    </w:p>
    <w:p w:rsidR="00000000" w:rsidDel="00000000" w:rsidP="00000000" w:rsidRDefault="00000000" w:rsidRPr="00000000" w14:paraId="0000007D">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Using AI to produce the written content of your Designer’s Reflection.</w:t>
      </w:r>
    </w:p>
    <w:p w:rsidR="00000000" w:rsidDel="00000000" w:rsidP="00000000" w:rsidRDefault="00000000" w:rsidRPr="00000000" w14:paraId="0000007E">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Having AI decide what your claim is or how your project should be structured.</w:t>
      </w:r>
    </w:p>
    <w:p w:rsidR="00000000" w:rsidDel="00000000" w:rsidP="00000000" w:rsidRDefault="00000000" w:rsidRPr="00000000" w14:paraId="0000007F">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Using AI as a substitute for engaging with the course readings.</w:t>
      </w:r>
    </w:p>
    <w:p w:rsidR="00000000" w:rsidDel="00000000" w:rsidP="00000000" w:rsidRDefault="00000000" w:rsidRPr="00000000" w14:paraId="00000080">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Submitting any AI-generated text as your own analytical writing.</w:t>
      </w:r>
    </w:p>
    <w:p w:rsidR="00000000" w:rsidDel="00000000" w:rsidP="00000000" w:rsidRDefault="00000000" w:rsidRPr="00000000" w14:paraId="00000081">
      <w:pPr>
        <w:pStyle w:val="Heading2"/>
        <w:rPr/>
      </w:pPr>
      <w:bookmarkStart w:colFirst="0" w:colLast="0" w:name="_vlijaapp1fat" w:id="11"/>
      <w:bookmarkEnd w:id="11"/>
      <w:r w:rsidDel="00000000" w:rsidR="00000000" w:rsidRPr="00000000">
        <w:rPr>
          <w:rtl w:val="0"/>
        </w:rPr>
        <w:t xml:space="preserve">?  How to tell the difference</w:t>
      </w:r>
    </w:p>
    <w:p w:rsidR="00000000" w:rsidDel="00000000" w:rsidP="00000000" w:rsidRDefault="00000000" w:rsidRPr="00000000" w14:paraId="00000082">
      <w:pPr>
        <w:spacing w:after="160" w:lineRule="auto"/>
        <w:rPr/>
      </w:pPr>
      <w:r w:rsidDel="00000000" w:rsidR="00000000" w:rsidRPr="00000000">
        <w:rPr>
          <w:rtl w:val="0"/>
        </w:rPr>
        <w:t xml:space="preserve">Ask yourself: did I do the thinking, and did the tool help me express or refine it? Or did the tool do the thinking, and am I just presenting its output? Remember, the goal here is for you to learn how to reflect and analyze your own experiences, so you can not outsource the decision-making or analysis to an AI tool. Disclose your AI use honestly in the technological disclosure. </w:t>
      </w:r>
    </w:p>
    <w:p w:rsidR="00000000" w:rsidDel="00000000" w:rsidP="00000000" w:rsidRDefault="00000000" w:rsidRPr="00000000" w14:paraId="00000083">
      <w:pPr>
        <w:pStyle w:val="Heading1"/>
        <w:spacing w:after="100" w:lineRule="auto"/>
        <w:rPr/>
      </w:pPr>
      <w:bookmarkStart w:colFirst="0" w:colLast="0" w:name="_y6x9tvaxsm88" w:id="12"/>
      <w:bookmarkEnd w:id="12"/>
      <w:r w:rsidDel="00000000" w:rsidR="00000000" w:rsidRPr="00000000">
        <w:rPr>
          <w:rtl w:val="0"/>
        </w:rPr>
        <w:t xml:space="preserve">Samples </w:t>
      </w:r>
    </w:p>
    <w:p w:rsidR="00000000" w:rsidDel="00000000" w:rsidP="00000000" w:rsidRDefault="00000000" w:rsidRPr="00000000" w14:paraId="00000084">
      <w:pPr>
        <w:rPr/>
      </w:pPr>
      <w:r w:rsidDel="00000000" w:rsidR="00000000" w:rsidRPr="00000000">
        <w:rPr>
          <w:rtl w:val="0"/>
        </w:rPr>
        <w:t xml:space="preserve">The examples below show different ways students have published multimodal analyses of their own experiences. While these are not directly for this class, I hope they inspire your own work: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hyperlink r:id="rId6">
        <w:r w:rsidDel="00000000" w:rsidR="00000000" w:rsidRPr="00000000">
          <w:rPr>
            <w:color w:val="1155cc"/>
            <w:u w:val="single"/>
            <w:rtl w:val="0"/>
          </w:rPr>
          <w:t xml:space="preserve">ADHD(e)-Classified: A Graphic Pathography  Khushi Patel</w:t>
        </w:r>
      </w:hyperlink>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hyperlink r:id="rId7">
        <w:r w:rsidDel="00000000" w:rsidR="00000000" w:rsidRPr="00000000">
          <w:rPr>
            <w:color w:val="1155cc"/>
            <w:u w:val="single"/>
            <w:rtl w:val="0"/>
          </w:rPr>
          <w:t xml:space="preserve">Graphic Pathography: Adventures in Sesamoid Recovery  Sabrina Califano</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nvergence-rhetoric.net/9-1-1.html" TargetMode="External"/><Relationship Id="rId7" Type="http://schemas.openxmlformats.org/officeDocument/2006/relationships/hyperlink" Target="https://convergence-rhetoric.net/9-1-2.html"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