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rFonts w:ascii="Garamond" w:cs="Garamond" w:eastAsia="Garamond" w:hAnsi="Garamond"/>
          <w:b w:val="1"/>
          <w:bCs w:val="1"/>
          <w:sz w:val="32"/>
          <w:szCs w:val="32"/>
        </w:rPr>
      </w:pPr>
      <w:r w:rsidDel="00000000" w:rsidR="00000000" w:rsidRPr="00000000">
        <w:rPr>
          <w:rFonts w:ascii="Garamond" w:cs="Garamond" w:eastAsia="Garamond" w:hAnsi="Garamond"/>
          <w:b w:val="1"/>
          <w:bCs w:val="1"/>
          <w:sz w:val="32"/>
          <w:szCs w:val="32"/>
          <w:rtl w:val="0"/>
        </w:rPr>
        <w:t xml:space="preserve">Teaching Statement</w:t>
      </w:r>
    </w:p>
    <w:p w:rsidR="00000000" w:rsidDel="00000000" w:rsidP="00000000" w:rsidRDefault="00000000" w:rsidRPr="00000000" w14:paraId="00000002">
      <w:pPr>
        <w:spacing w:after="360" w:line="276" w:lineRule="auto"/>
        <w:jc w:val="center"/>
        <w:rPr>
          <w:rFonts w:ascii="Garamond" w:cs="Garamond" w:eastAsia="Garamond" w:hAnsi="Garamond"/>
          <w:i w:val="1"/>
          <w:iCs w:val="1"/>
          <w:sz w:val="24"/>
          <w:szCs w:val="24"/>
        </w:rPr>
      </w:pPr>
      <w:r w:rsidDel="00000000" w:rsidR="00000000" w:rsidRPr="00000000">
        <w:rPr>
          <w:rFonts w:ascii="Garamond" w:cs="Garamond" w:eastAsia="Garamond" w:hAnsi="Garamond"/>
          <w:i w:val="1"/>
          <w:iCs w:val="1"/>
          <w:sz w:val="24"/>
          <w:szCs w:val="24"/>
          <w:rtl w:val="0"/>
        </w:rPr>
        <w:t xml:space="preserve">Emily Proulx</w:t>
      </w:r>
    </w:p>
    <w:p w:rsidR="00000000" w:rsidDel="00000000" w:rsidP="00000000" w:rsidRDefault="00000000" w:rsidRPr="00000000" w14:paraId="00000003">
      <w:pPr>
        <w:spacing w:after="160" w:line="264"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be an effective teacher, I believe first and foremost you must be a life-long learner: you have to keep evolving with the times and with the students in front of you. I wrote that line years ago, in my first teaching statement, long before generative AI entered the classroom, and it remains truer than ever in this era of emerging technology. That adaptability isn't a reaction to AI, but rather it's the same instinct that has always driven me to look for the next place to improve a course, and it's the throughline connecting the instructor I was before ChatGPT existed to the one designing AI policy today.</w:t>
      </w:r>
    </w:p>
    <w:p w:rsidR="00000000" w:rsidDel="00000000" w:rsidP="00000000" w:rsidRDefault="00000000" w:rsidRPr="00000000" w14:paraId="00000004">
      <w:pPr>
        <w:spacing w:after="160" w:line="264"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Part of my philosophy has long been a belief that technology is a literacy, not a threat. I can't prepare students for every tool they'll encounter, but I can teach them to acquire information and apply it effectively to their own writing. That belief drove me to substantially revise Professional Writing when the course joined the College of Arts and Humanities’ Artificial Intelligence, Big Data, and Human Impacts undergraduate certificate. Instead of composing standard professional genres in the abstract, students now research what their own profession is saying about AI, then write a white paper evaluating AI summarization tools against their field's standards. The course closes with a group project where students identify a real workplace communication problem and deliver a scripted presentation proposing a solution, practicing both the research-and-writing work and the collaborative, spoken side of professional communication. One student came to my office after that unit to talk through his goals for the rest of his time at UCF, and decided, from that conversation, to switch his major to Writing and Rhetoric. By teaching technology as a literacy rather than a fixed skill, even when the tools change every semester, the habit of researching what a field values doesn't.</w:t>
      </w:r>
    </w:p>
    <w:p w:rsidR="00000000" w:rsidDel="00000000" w:rsidP="00000000" w:rsidRDefault="00000000" w:rsidRPr="00000000" w14:paraId="00000005">
      <w:pPr>
        <w:spacing w:after="160" w:line="264"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At the center of my teaching is care for students, and revision is paramount to how that care shows up in a syllabus. I learn each student's name, their projects, and their goals, and I try to make feedback less evaluative and more of a conversation, asking them to look at their own writing from an audience's perspective rather than simply telling them what to fix. Because students arrive with a range of skills and backgrounds, they don't all reach a course's outcomes on the same timeline, so rather than failing a draft outright, I build in feedback and additional opportunities to revise. I've carried that commitment into Writing and Rhetoric Foundations, built around the threshold concepts of Writing Studies crafted by Elizabeth Wardle and Linda Adler-Kassner to help students understand writing as neither intuitive nor neutral. The course opens with a Literacy Narrative students re-read as data and closes with a Rhetorical Work in the World project, where they choose a civic, digital and public, or professional genre and produce something for an external audience, paired with a writer's memo tying their choices back to genre and transfer. </w:t>
      </w:r>
    </w:p>
    <w:p w:rsidR="00000000" w:rsidDel="00000000" w:rsidP="00000000" w:rsidRDefault="00000000" w:rsidRPr="00000000" w14:paraId="00000006">
      <w:pPr>
        <w:spacing w:after="160" w:line="264"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Prioritizing students has also meant valuing what they tell me anonymously that they might not say to my face. For years, I've used anonymous surveys to ask about technology access, work-life balance, and outside support, because those check-ins reach students who wouldn't otherwise speak up. That focus also shaped the accessibility provisions in my current AI policy: I aligned my assistive-technology language with UDL principles, so text-to-speech, speech-to-text, and translation support are available to any student who benefits, without being gated behind a formal accommodation or named in a disclosure statement as if it were a shortcut.</w:t>
      </w:r>
    </w:p>
    <w:p w:rsidR="00000000" w:rsidDel="00000000" w:rsidP="00000000" w:rsidRDefault="00000000" w:rsidRPr="00000000" w14:paraId="00000007">
      <w:pPr>
        <w:spacing w:after="160" w:line="264"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 situate that practice inside a broader, hands-on relationship to digital and multimodal methods, developed through UCF's Texts and Technology PhD program, currently the only doctoral program of its kind in the country, worth naming to a committee weighing what a DH credential is built on. Digital humanities scholars have long warned against a version of the field that reduces to tool use; as Julia Thompson Klein argues, technical production alone risks making DH a “handmaiden” to the humanities. My own work tries to hold that line: my Bluesky bot, @torturedscholars, pairs Taylor Swift lyrics with poststructuralist theory and led to a critical paper connecting the project to Hayles's posthumanism. I have carried that approach into teaching, building an interactive browser game on AI ethics and environmental cost for my Professional Writing students, developed with Claude Code and deployed to GitHub Pages, treating the technology as a cultural artifact worth studying, not just a tool worth adopting.</w:t>
      </w:r>
    </w:p>
    <w:p w:rsidR="00000000" w:rsidDel="00000000" w:rsidP="00000000" w:rsidRDefault="00000000" w:rsidRPr="00000000" w14:paraId="00000008">
      <w:pPr>
        <w:spacing w:after="160" w:line="264"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That same experimentation shaped my approach to generative AI, where my goal is to be specific rather than reassuring. Building the game myself meant sitting inside the mechanics of AI co-authorship: deciding what to hand off, rewrite, or reject, long enough to know the useful line isn't “AI versus no AI,” it's judgment versus outsourced judgment. Simon Willison draws a version of this distinction: “vibe coding,” forgetting the underlying work even exists and accepting a tool's output unread, versus the deliberate practice of reviewing what a tool produces before claiming it as your own. I ask my students for the latter; my policy requires a Technology Disclosure Statement with every major project, naming which tools they used and how, and submitting the AI output itself alongside their own work, so the line stays visible rather than taken on faith. Professional developments like my work with the Global Society of Online Literacy Educators has helped me name what I was already reaching for: fostering AI literacy, not running surveillance. I treat AI assistance the way I've always treated a Writing Center visit, useful for jump-starting thinking, never a substitute for the writing itself, a stance consistent with what Dan Cohen and other digital humanities scholars have argued: these tools suit locating research far better than generating writing. Disclosure, in my classroom, is a transparency exercise, not a confession.</w:t>
      </w:r>
    </w:p>
    <w:p w:rsidR="00000000" w:rsidDel="00000000" w:rsidP="00000000" w:rsidRDefault="00000000" w:rsidRPr="00000000" w14:paraId="00000009">
      <w:pPr>
        <w:spacing w:after="160" w:line="264"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What ties this together (the anonymous check-ins, the revision-first grading, the real-audience assignments, the AI policy) is a belief I've held since before any of this was fashionable: my role in the classroom is to be a resource and a guide, and to keep handing students back their own judgment rather than letting a tool make their decisions for them. That commitment doesn't end when the semester does: I've mentored students from coursework into conference presentations, publications, and Honors in the Major thesis projects, because the judgment I'm building is meant to outlast any single class. That's the classroom I've already spent years building. It's also, I've found, exactly the classroom this moment needs.</w:t>
      </w:r>
    </w:p>
    <w:p w:rsidR="00000000" w:rsidDel="00000000" w:rsidP="00000000" w:rsidRDefault="00000000" w:rsidRPr="00000000" w14:paraId="0000000A">
      <w:pPr>
        <w:spacing w:after="200" w:line="276" w:lineRule="auto"/>
        <w:rPr>
          <w:rFonts w:ascii="Garamond" w:cs="Garamond" w:eastAsia="Garamond" w:hAnsi="Garamond"/>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