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1C7B9BCA" w:rsidR="00477E5B" w:rsidRPr="005C0996" w:rsidRDefault="005C0996">
      <w:pPr>
        <w:jc w:val="center"/>
        <w:rPr>
          <w:rFonts w:asciiTheme="majorHAnsi" w:hAnsiTheme="majorHAnsi" w:cstheme="majorHAnsi"/>
          <w:b/>
          <w:bCs/>
          <w:i/>
          <w:iCs/>
          <w:sz w:val="24"/>
          <w:szCs w:val="24"/>
          <w:highlight w:val="white"/>
        </w:rPr>
      </w:pPr>
      <w:r w:rsidRPr="005C0996">
        <w:rPr>
          <w:rFonts w:asciiTheme="majorHAnsi" w:hAnsiTheme="majorHAnsi" w:cstheme="majorHAnsi"/>
          <w:b/>
          <w:bCs/>
          <w:i/>
          <w:iCs/>
          <w:sz w:val="24"/>
          <w:szCs w:val="24"/>
          <w:highlight w:val="white"/>
        </w:rPr>
        <w:t>Is it Really a “Gut Feeling”?</w:t>
      </w:r>
    </w:p>
    <w:p w14:paraId="00000002" w14:textId="77777777" w:rsidR="00477E5B" w:rsidRPr="005C0996" w:rsidRDefault="00477E5B">
      <w:pPr>
        <w:jc w:val="center"/>
        <w:rPr>
          <w:rFonts w:asciiTheme="majorHAnsi" w:hAnsiTheme="majorHAnsi" w:cstheme="majorHAnsi"/>
          <w:sz w:val="24"/>
          <w:szCs w:val="24"/>
          <w:highlight w:val="white"/>
        </w:rPr>
      </w:pPr>
    </w:p>
    <w:p w14:paraId="18949269" w14:textId="77777777" w:rsidR="005C0996" w:rsidRDefault="005C0996" w:rsidP="005C0996">
      <w:pPr>
        <w:ind w:firstLine="720"/>
        <w:rPr>
          <w:rFonts w:asciiTheme="majorHAnsi" w:hAnsiTheme="majorHAnsi" w:cstheme="majorHAnsi"/>
          <w:sz w:val="24"/>
          <w:szCs w:val="24"/>
          <w:highlight w:val="white"/>
        </w:rPr>
      </w:pPr>
      <w:r w:rsidRPr="005C0996">
        <w:rPr>
          <w:rFonts w:asciiTheme="majorHAnsi" w:hAnsiTheme="majorHAnsi" w:cstheme="majorHAnsi"/>
          <w:sz w:val="24"/>
          <w:szCs w:val="24"/>
          <w:highlight w:val="white"/>
        </w:rPr>
        <w:t xml:space="preserve">It is no surprise that often people experience strong emotional responses as a “gut feeling”. However, gastrointestinal motility has scarcely been studied as a measure of emotional arousal. This study will explore the relationship between gastrointestinal </w:t>
      </w:r>
      <w:r w:rsidRPr="005C0996">
        <w:rPr>
          <w:rFonts w:asciiTheme="majorHAnsi" w:hAnsiTheme="majorHAnsi" w:cstheme="majorHAnsi"/>
          <w:sz w:val="24"/>
          <w:szCs w:val="24"/>
          <w:highlight w:val="white"/>
        </w:rPr>
        <w:t xml:space="preserve">activity and emotions utilizing </w:t>
      </w:r>
      <w:proofErr w:type="spellStart"/>
      <w:r w:rsidRPr="005C0996">
        <w:rPr>
          <w:rFonts w:asciiTheme="majorHAnsi" w:hAnsiTheme="majorHAnsi" w:cstheme="majorHAnsi"/>
          <w:sz w:val="24"/>
          <w:szCs w:val="24"/>
          <w:highlight w:val="white"/>
        </w:rPr>
        <w:t>electrogastrography</w:t>
      </w:r>
      <w:proofErr w:type="spellEnd"/>
      <w:r w:rsidRPr="005C0996">
        <w:rPr>
          <w:rFonts w:asciiTheme="majorHAnsi" w:hAnsiTheme="majorHAnsi" w:cstheme="majorHAnsi"/>
          <w:sz w:val="24"/>
          <w:szCs w:val="24"/>
          <w:highlight w:val="white"/>
        </w:rPr>
        <w:t xml:space="preserve"> </w:t>
      </w:r>
      <w:r>
        <w:rPr>
          <w:rFonts w:asciiTheme="majorHAnsi" w:hAnsiTheme="majorHAnsi" w:cstheme="majorHAnsi"/>
          <w:sz w:val="24"/>
          <w:szCs w:val="24"/>
          <w:highlight w:val="white"/>
        </w:rPr>
        <w:t>(</w:t>
      </w:r>
      <w:r w:rsidRPr="005C0996">
        <w:rPr>
          <w:rFonts w:asciiTheme="majorHAnsi" w:hAnsiTheme="majorHAnsi" w:cstheme="majorHAnsi"/>
          <w:sz w:val="24"/>
          <w:szCs w:val="24"/>
          <w:highlight w:val="white"/>
        </w:rPr>
        <w:t>EGG</w:t>
      </w:r>
      <w:r>
        <w:rPr>
          <w:rFonts w:asciiTheme="majorHAnsi" w:hAnsiTheme="majorHAnsi" w:cstheme="majorHAnsi"/>
          <w:sz w:val="24"/>
          <w:szCs w:val="24"/>
          <w:highlight w:val="white"/>
        </w:rPr>
        <w:t>)</w:t>
      </w:r>
      <w:r w:rsidRPr="005C0996">
        <w:rPr>
          <w:rFonts w:asciiTheme="majorHAnsi" w:hAnsiTheme="majorHAnsi" w:cstheme="majorHAnsi"/>
          <w:sz w:val="24"/>
          <w:szCs w:val="24"/>
          <w:highlight w:val="white"/>
        </w:rPr>
        <w:t xml:space="preserve">. </w:t>
      </w:r>
    </w:p>
    <w:p w14:paraId="1A5B3137" w14:textId="77777777" w:rsidR="005C0996" w:rsidRDefault="005C0996" w:rsidP="005C0996">
      <w:pPr>
        <w:ind w:firstLine="720"/>
        <w:rPr>
          <w:rFonts w:asciiTheme="majorHAnsi" w:hAnsiTheme="majorHAnsi" w:cstheme="majorHAnsi"/>
          <w:sz w:val="24"/>
          <w:szCs w:val="24"/>
          <w:highlight w:val="white"/>
        </w:rPr>
      </w:pPr>
      <w:r w:rsidRPr="005C0996">
        <w:rPr>
          <w:rFonts w:asciiTheme="majorHAnsi" w:hAnsiTheme="majorHAnsi" w:cstheme="majorHAnsi"/>
          <w:sz w:val="24"/>
          <w:szCs w:val="24"/>
          <w:highlight w:val="white"/>
        </w:rPr>
        <w:t>In this study we aim t</w:t>
      </w:r>
      <w:bookmarkStart w:id="0" w:name="_GoBack"/>
      <w:bookmarkEnd w:id="0"/>
      <w:r w:rsidRPr="005C0996">
        <w:rPr>
          <w:rFonts w:asciiTheme="majorHAnsi" w:hAnsiTheme="majorHAnsi" w:cstheme="majorHAnsi"/>
          <w:sz w:val="24"/>
          <w:szCs w:val="24"/>
          <w:highlight w:val="white"/>
        </w:rPr>
        <w:t>o establish a relationship between emotionally arousing stimuli and the EGG response, as well as investigate the individual differences that might influence the EGG respon</w:t>
      </w:r>
      <w:r w:rsidRPr="005C0996">
        <w:rPr>
          <w:rFonts w:asciiTheme="majorHAnsi" w:hAnsiTheme="majorHAnsi" w:cstheme="majorHAnsi"/>
          <w:sz w:val="24"/>
          <w:szCs w:val="24"/>
          <w:highlight w:val="white"/>
        </w:rPr>
        <w:t>se to stress (such as early life stress, current stress, trait variables, etc.) through a series of surveys and questionnaires. Finally, we aim to explore how the EGG response coincides with other physiological indices (such as heart rate, or ECG, and swea</w:t>
      </w:r>
      <w:r w:rsidRPr="005C0996">
        <w:rPr>
          <w:rFonts w:asciiTheme="majorHAnsi" w:hAnsiTheme="majorHAnsi" w:cstheme="majorHAnsi"/>
          <w:sz w:val="24"/>
          <w:szCs w:val="24"/>
          <w:highlight w:val="white"/>
        </w:rPr>
        <w:t xml:space="preserve">t response, or </w:t>
      </w:r>
      <w:proofErr w:type="spellStart"/>
      <w:r w:rsidRPr="005C0996">
        <w:rPr>
          <w:rFonts w:asciiTheme="majorHAnsi" w:hAnsiTheme="majorHAnsi" w:cstheme="majorHAnsi"/>
          <w:sz w:val="24"/>
          <w:szCs w:val="24"/>
          <w:highlight w:val="white"/>
        </w:rPr>
        <w:t>GSR</w:t>
      </w:r>
      <w:proofErr w:type="spellEnd"/>
      <w:r w:rsidRPr="005C0996">
        <w:rPr>
          <w:rFonts w:asciiTheme="majorHAnsi" w:hAnsiTheme="majorHAnsi" w:cstheme="majorHAnsi"/>
          <w:sz w:val="24"/>
          <w:szCs w:val="24"/>
          <w:highlight w:val="white"/>
        </w:rPr>
        <w:t xml:space="preserve">). </w:t>
      </w:r>
    </w:p>
    <w:p w14:paraId="7A00BD8B" w14:textId="77777777" w:rsidR="005C0996" w:rsidRDefault="005C0996" w:rsidP="005C0996">
      <w:pPr>
        <w:ind w:firstLine="720"/>
        <w:rPr>
          <w:rFonts w:asciiTheme="majorHAnsi" w:hAnsiTheme="majorHAnsi" w:cstheme="majorHAnsi"/>
          <w:sz w:val="24"/>
          <w:szCs w:val="24"/>
          <w:highlight w:val="white"/>
        </w:rPr>
      </w:pPr>
      <w:r w:rsidRPr="005C0996">
        <w:rPr>
          <w:rFonts w:asciiTheme="majorHAnsi" w:hAnsiTheme="majorHAnsi" w:cstheme="majorHAnsi"/>
          <w:sz w:val="24"/>
          <w:szCs w:val="24"/>
          <w:highlight w:val="white"/>
        </w:rPr>
        <w:t xml:space="preserve">This study consists of three emotionally arousing movie clips which last for twenty minutes each followed by a subjective Positive </w:t>
      </w:r>
      <w:proofErr w:type="gramStart"/>
      <w:r w:rsidRPr="005C0996">
        <w:rPr>
          <w:rFonts w:asciiTheme="majorHAnsi" w:hAnsiTheme="majorHAnsi" w:cstheme="majorHAnsi"/>
          <w:sz w:val="24"/>
          <w:szCs w:val="24"/>
          <w:highlight w:val="white"/>
        </w:rPr>
        <w:t>And</w:t>
      </w:r>
      <w:proofErr w:type="gramEnd"/>
      <w:r w:rsidRPr="005C0996">
        <w:rPr>
          <w:rFonts w:asciiTheme="majorHAnsi" w:hAnsiTheme="majorHAnsi" w:cstheme="majorHAnsi"/>
          <w:sz w:val="24"/>
          <w:szCs w:val="24"/>
          <w:highlight w:val="white"/>
        </w:rPr>
        <w:t xml:space="preserve"> Negative Affect Schedule (</w:t>
      </w:r>
      <w:proofErr w:type="spellStart"/>
      <w:r w:rsidRPr="005C0996">
        <w:rPr>
          <w:rFonts w:asciiTheme="majorHAnsi" w:hAnsiTheme="majorHAnsi" w:cstheme="majorHAnsi"/>
          <w:sz w:val="24"/>
          <w:szCs w:val="24"/>
          <w:highlight w:val="white"/>
        </w:rPr>
        <w:t>PANAS</w:t>
      </w:r>
      <w:proofErr w:type="spellEnd"/>
      <w:r w:rsidRPr="005C0996">
        <w:rPr>
          <w:rFonts w:asciiTheme="majorHAnsi" w:hAnsiTheme="majorHAnsi" w:cstheme="majorHAnsi"/>
          <w:sz w:val="24"/>
          <w:szCs w:val="24"/>
          <w:highlight w:val="white"/>
        </w:rPr>
        <w:t>) questionnaire which is used as a manipulation check to ensure the</w:t>
      </w:r>
      <w:r w:rsidRPr="005C0996">
        <w:rPr>
          <w:rFonts w:asciiTheme="majorHAnsi" w:hAnsiTheme="majorHAnsi" w:cstheme="majorHAnsi"/>
          <w:sz w:val="24"/>
          <w:szCs w:val="24"/>
          <w:highlight w:val="white"/>
        </w:rPr>
        <w:t xml:space="preserve"> movie clips are evoking the intended emotion. Participants will be wearing a series of wireless physiological sensors while watching a series of sad, scary, and neutral movie clips. The physiology recordings are received through a </w:t>
      </w:r>
      <w:proofErr w:type="spellStart"/>
      <w:r w:rsidRPr="005C0996">
        <w:rPr>
          <w:rFonts w:asciiTheme="majorHAnsi" w:hAnsiTheme="majorHAnsi" w:cstheme="majorHAnsi"/>
          <w:sz w:val="24"/>
          <w:szCs w:val="24"/>
          <w:highlight w:val="white"/>
        </w:rPr>
        <w:t>BIOPAC</w:t>
      </w:r>
      <w:proofErr w:type="spellEnd"/>
      <w:r w:rsidRPr="005C0996">
        <w:rPr>
          <w:rFonts w:asciiTheme="majorHAnsi" w:hAnsiTheme="majorHAnsi" w:cstheme="majorHAnsi"/>
          <w:sz w:val="24"/>
          <w:szCs w:val="24"/>
          <w:highlight w:val="white"/>
        </w:rPr>
        <w:t>. Participants wil</w:t>
      </w:r>
      <w:r w:rsidRPr="005C0996">
        <w:rPr>
          <w:rFonts w:asciiTheme="majorHAnsi" w:hAnsiTheme="majorHAnsi" w:cstheme="majorHAnsi"/>
          <w:sz w:val="24"/>
          <w:szCs w:val="24"/>
          <w:highlight w:val="white"/>
        </w:rPr>
        <w:t xml:space="preserve">l also </w:t>
      </w:r>
      <w:r w:rsidRPr="005C0996">
        <w:rPr>
          <w:rFonts w:asciiTheme="majorHAnsi" w:hAnsiTheme="majorHAnsi" w:cstheme="majorHAnsi"/>
          <w:sz w:val="24"/>
          <w:szCs w:val="24"/>
        </w:rPr>
        <w:t>complete a range of questionnaires assessing social and emotional functioning, physical</w:t>
      </w:r>
      <w:r w:rsidRPr="005C0996">
        <w:rPr>
          <w:rFonts w:asciiTheme="majorHAnsi" w:hAnsiTheme="majorHAnsi" w:cstheme="majorHAnsi"/>
          <w:sz w:val="24"/>
          <w:szCs w:val="24"/>
        </w:rPr>
        <w:t xml:space="preserve"> health and current physical symptoms, as well as early life adversity </w:t>
      </w:r>
      <w:r w:rsidRPr="005C0996">
        <w:rPr>
          <w:rFonts w:asciiTheme="majorHAnsi" w:hAnsiTheme="majorHAnsi" w:cstheme="majorHAnsi"/>
          <w:sz w:val="24"/>
          <w:szCs w:val="24"/>
          <w:highlight w:val="white"/>
        </w:rPr>
        <w:t>assessments</w:t>
      </w:r>
      <w:r w:rsidRPr="005C0996">
        <w:rPr>
          <w:rFonts w:asciiTheme="majorHAnsi" w:hAnsiTheme="majorHAnsi" w:cstheme="majorHAnsi"/>
          <w:sz w:val="24"/>
          <w:szCs w:val="24"/>
          <w:highlight w:val="white"/>
        </w:rPr>
        <w:t>. Past research has determined that these factors have been previously associat</w:t>
      </w:r>
      <w:r w:rsidRPr="005C0996">
        <w:rPr>
          <w:rFonts w:asciiTheme="majorHAnsi" w:hAnsiTheme="majorHAnsi" w:cstheme="majorHAnsi"/>
          <w:sz w:val="24"/>
          <w:szCs w:val="24"/>
          <w:highlight w:val="white"/>
        </w:rPr>
        <w:t>ed with differences in the gastrointestinal microbiome which contributes to gastrointestinal activity and distress (Callaghan et al. 2019).</w:t>
      </w:r>
      <w:r w:rsidRPr="005C0996">
        <w:rPr>
          <w:rFonts w:asciiTheme="majorHAnsi" w:hAnsiTheme="majorHAnsi" w:cstheme="majorHAnsi"/>
          <w:sz w:val="24"/>
          <w:szCs w:val="24"/>
          <w:highlight w:val="white"/>
        </w:rPr>
        <w:t xml:space="preserve"> </w:t>
      </w:r>
    </w:p>
    <w:p w14:paraId="72856531" w14:textId="77777777" w:rsidR="005C0996" w:rsidRDefault="005C0996" w:rsidP="005C0996">
      <w:pPr>
        <w:ind w:firstLine="720"/>
        <w:rPr>
          <w:rFonts w:asciiTheme="majorHAnsi" w:hAnsiTheme="majorHAnsi" w:cstheme="majorHAnsi"/>
          <w:sz w:val="24"/>
          <w:szCs w:val="24"/>
          <w:highlight w:val="white"/>
        </w:rPr>
      </w:pPr>
      <w:r w:rsidRPr="005C0996">
        <w:rPr>
          <w:rFonts w:asciiTheme="majorHAnsi" w:hAnsiTheme="majorHAnsi" w:cstheme="majorHAnsi"/>
          <w:sz w:val="24"/>
          <w:szCs w:val="24"/>
          <w:highlight w:val="white"/>
        </w:rPr>
        <w:t xml:space="preserve">This study is sponsored by Dr. Bridget Callaghan at UCLA’s </w:t>
      </w:r>
      <w:r w:rsidRPr="005C0996">
        <w:rPr>
          <w:rFonts w:asciiTheme="majorHAnsi" w:hAnsiTheme="majorHAnsi" w:cstheme="majorHAnsi"/>
          <w:sz w:val="24"/>
          <w:szCs w:val="24"/>
          <w:highlight w:val="white"/>
        </w:rPr>
        <w:t>Department of Psychology. We are providing you with thi</w:t>
      </w:r>
      <w:r w:rsidRPr="005C0996">
        <w:rPr>
          <w:rFonts w:asciiTheme="majorHAnsi" w:hAnsiTheme="majorHAnsi" w:cstheme="majorHAnsi"/>
          <w:sz w:val="24"/>
          <w:szCs w:val="24"/>
          <w:highlight w:val="white"/>
        </w:rPr>
        <w:t>s debriefing form to ensure that you are comfortable with the tasks that you participated in and that you learn from this experience. In its entirety, this experiment usually takes approximately 2 hours to complete, and you will receive experimental credit</w:t>
      </w:r>
      <w:r w:rsidRPr="005C0996">
        <w:rPr>
          <w:rFonts w:asciiTheme="majorHAnsi" w:hAnsiTheme="majorHAnsi" w:cstheme="majorHAnsi"/>
          <w:sz w:val="24"/>
          <w:szCs w:val="24"/>
          <w:highlight w:val="white"/>
        </w:rPr>
        <w:t xml:space="preserve">. Please do NOT discuss any aspect of this study with classmates. Ask the experimenter any further questions about your participation. </w:t>
      </w:r>
    </w:p>
    <w:p w14:paraId="00000008" w14:textId="20BFA0B8" w:rsidR="00477E5B" w:rsidRPr="005C0996" w:rsidRDefault="005C0996" w:rsidP="005C0996">
      <w:pPr>
        <w:ind w:firstLine="720"/>
        <w:rPr>
          <w:rFonts w:asciiTheme="majorHAnsi" w:hAnsiTheme="majorHAnsi" w:cstheme="majorHAnsi"/>
          <w:sz w:val="24"/>
          <w:szCs w:val="24"/>
          <w:highlight w:val="white"/>
        </w:rPr>
      </w:pPr>
      <w:r w:rsidRPr="005C0996">
        <w:rPr>
          <w:rFonts w:asciiTheme="majorHAnsi" w:hAnsiTheme="majorHAnsi" w:cstheme="majorHAnsi"/>
          <w:sz w:val="24"/>
          <w:szCs w:val="24"/>
          <w:highlight w:val="white"/>
        </w:rPr>
        <w:t xml:space="preserve">Please contact bablab.ucla@gmail.com for further questions. Thank you for participating. </w:t>
      </w:r>
    </w:p>
    <w:p w14:paraId="00000009" w14:textId="77777777" w:rsidR="00477E5B" w:rsidRPr="005C0996" w:rsidRDefault="005C0996">
      <w:pPr>
        <w:ind w:firstLine="720"/>
        <w:rPr>
          <w:rFonts w:asciiTheme="majorHAnsi" w:hAnsiTheme="majorHAnsi" w:cstheme="majorHAnsi"/>
          <w:sz w:val="24"/>
          <w:szCs w:val="24"/>
          <w:highlight w:val="white"/>
        </w:rPr>
      </w:pPr>
      <w:r w:rsidRPr="005C0996">
        <w:rPr>
          <w:rFonts w:asciiTheme="majorHAnsi" w:hAnsiTheme="majorHAnsi" w:cstheme="majorHAnsi"/>
          <w:sz w:val="24"/>
          <w:szCs w:val="24"/>
          <w:highlight w:val="white"/>
        </w:rPr>
        <w:tab/>
      </w:r>
      <w:r w:rsidRPr="005C0996">
        <w:rPr>
          <w:rFonts w:asciiTheme="majorHAnsi" w:hAnsiTheme="majorHAnsi" w:cstheme="majorHAnsi"/>
          <w:sz w:val="24"/>
          <w:szCs w:val="24"/>
          <w:highlight w:val="white"/>
        </w:rPr>
        <w:tab/>
      </w:r>
      <w:r w:rsidRPr="005C0996">
        <w:rPr>
          <w:rFonts w:asciiTheme="majorHAnsi" w:hAnsiTheme="majorHAnsi" w:cstheme="majorHAnsi"/>
          <w:sz w:val="24"/>
          <w:szCs w:val="24"/>
          <w:highlight w:val="white"/>
        </w:rPr>
        <w:tab/>
      </w:r>
      <w:r w:rsidRPr="005C0996">
        <w:rPr>
          <w:rFonts w:asciiTheme="majorHAnsi" w:hAnsiTheme="majorHAnsi" w:cstheme="majorHAnsi"/>
          <w:sz w:val="24"/>
          <w:szCs w:val="24"/>
          <w:highlight w:val="white"/>
        </w:rPr>
        <w:tab/>
      </w:r>
    </w:p>
    <w:p w14:paraId="0000000A" w14:textId="77777777" w:rsidR="00477E5B" w:rsidRPr="005C0996" w:rsidRDefault="005C0996">
      <w:pPr>
        <w:ind w:firstLine="720"/>
        <w:rPr>
          <w:rFonts w:asciiTheme="majorHAnsi" w:hAnsiTheme="majorHAnsi" w:cstheme="majorHAnsi"/>
          <w:sz w:val="24"/>
          <w:szCs w:val="24"/>
          <w:highlight w:val="white"/>
        </w:rPr>
      </w:pPr>
      <w:r w:rsidRPr="005C0996">
        <w:rPr>
          <w:rFonts w:asciiTheme="majorHAnsi" w:hAnsiTheme="majorHAnsi" w:cstheme="majorHAnsi"/>
          <w:sz w:val="24"/>
          <w:szCs w:val="24"/>
          <w:highlight w:val="white"/>
        </w:rPr>
        <w:tab/>
      </w:r>
      <w:r w:rsidRPr="005C0996">
        <w:rPr>
          <w:rFonts w:asciiTheme="majorHAnsi" w:hAnsiTheme="majorHAnsi" w:cstheme="majorHAnsi"/>
          <w:sz w:val="24"/>
          <w:szCs w:val="24"/>
          <w:highlight w:val="white"/>
        </w:rPr>
        <w:tab/>
      </w:r>
      <w:r w:rsidRPr="005C0996">
        <w:rPr>
          <w:rFonts w:asciiTheme="majorHAnsi" w:hAnsiTheme="majorHAnsi" w:cstheme="majorHAnsi"/>
          <w:sz w:val="24"/>
          <w:szCs w:val="24"/>
          <w:highlight w:val="white"/>
        </w:rPr>
        <w:tab/>
      </w:r>
    </w:p>
    <w:p w14:paraId="0000000B" w14:textId="77777777" w:rsidR="00477E5B" w:rsidRPr="005C0996" w:rsidRDefault="005C0996">
      <w:pPr>
        <w:ind w:firstLine="720"/>
        <w:rPr>
          <w:rFonts w:asciiTheme="majorHAnsi" w:hAnsiTheme="majorHAnsi" w:cstheme="majorHAnsi"/>
          <w:sz w:val="24"/>
          <w:szCs w:val="24"/>
          <w:highlight w:val="white"/>
        </w:rPr>
      </w:pPr>
      <w:r w:rsidRPr="005C0996">
        <w:rPr>
          <w:rFonts w:asciiTheme="majorHAnsi" w:hAnsiTheme="majorHAnsi" w:cstheme="majorHAnsi"/>
          <w:sz w:val="24"/>
          <w:szCs w:val="24"/>
          <w:highlight w:val="white"/>
        </w:rPr>
        <w:tab/>
      </w:r>
      <w:r w:rsidRPr="005C0996">
        <w:rPr>
          <w:rFonts w:asciiTheme="majorHAnsi" w:hAnsiTheme="majorHAnsi" w:cstheme="majorHAnsi"/>
          <w:sz w:val="24"/>
          <w:szCs w:val="24"/>
          <w:highlight w:val="white"/>
        </w:rPr>
        <w:tab/>
      </w:r>
    </w:p>
    <w:p w14:paraId="0000000C" w14:textId="77777777" w:rsidR="00477E5B" w:rsidRPr="005C0996" w:rsidRDefault="00477E5B">
      <w:pPr>
        <w:ind w:firstLine="720"/>
        <w:rPr>
          <w:rFonts w:asciiTheme="majorHAnsi" w:hAnsiTheme="majorHAnsi" w:cstheme="majorHAnsi"/>
          <w:sz w:val="24"/>
          <w:szCs w:val="24"/>
          <w:highlight w:val="white"/>
        </w:rPr>
      </w:pPr>
    </w:p>
    <w:p w14:paraId="5C412F3D" w14:textId="77777777" w:rsidR="008F7B02" w:rsidRPr="005C0996" w:rsidRDefault="008F7B02">
      <w:pPr>
        <w:rPr>
          <w:rFonts w:asciiTheme="majorHAnsi" w:hAnsiTheme="majorHAnsi" w:cstheme="majorHAnsi"/>
          <w:sz w:val="24"/>
          <w:szCs w:val="24"/>
          <w:highlight w:val="white"/>
        </w:rPr>
      </w:pPr>
    </w:p>
    <w:p w14:paraId="003541ED" w14:textId="77777777" w:rsidR="005C0996" w:rsidRDefault="005C0996">
      <w:pPr>
        <w:rPr>
          <w:rFonts w:asciiTheme="majorHAnsi" w:hAnsiTheme="majorHAnsi" w:cstheme="majorHAnsi"/>
          <w:sz w:val="24"/>
          <w:szCs w:val="24"/>
          <w:highlight w:val="white"/>
        </w:rPr>
      </w:pPr>
      <w:r>
        <w:rPr>
          <w:rFonts w:asciiTheme="majorHAnsi" w:hAnsiTheme="majorHAnsi" w:cstheme="majorHAnsi"/>
          <w:sz w:val="24"/>
          <w:szCs w:val="24"/>
          <w:highlight w:val="white"/>
        </w:rPr>
        <w:br w:type="page"/>
      </w:r>
    </w:p>
    <w:p w14:paraId="0000000D" w14:textId="19CD9E0E" w:rsidR="00477E5B" w:rsidRPr="005C0996" w:rsidRDefault="005C0996" w:rsidP="005C0996">
      <w:pPr>
        <w:jc w:val="center"/>
        <w:rPr>
          <w:rFonts w:asciiTheme="majorHAnsi" w:hAnsiTheme="majorHAnsi" w:cstheme="majorHAnsi"/>
          <w:sz w:val="24"/>
          <w:szCs w:val="24"/>
          <w:highlight w:val="white"/>
        </w:rPr>
      </w:pPr>
      <w:r>
        <w:rPr>
          <w:rFonts w:asciiTheme="majorHAnsi" w:hAnsiTheme="majorHAnsi" w:cstheme="majorHAnsi"/>
          <w:sz w:val="24"/>
          <w:szCs w:val="24"/>
          <w:highlight w:val="white"/>
        </w:rPr>
        <w:lastRenderedPageBreak/>
        <w:t>References</w:t>
      </w:r>
    </w:p>
    <w:p w14:paraId="0000000E" w14:textId="77777777" w:rsidR="00477E5B" w:rsidRPr="005C0996" w:rsidRDefault="00477E5B">
      <w:pPr>
        <w:ind w:firstLine="720"/>
        <w:rPr>
          <w:rFonts w:asciiTheme="majorHAnsi" w:hAnsiTheme="majorHAnsi" w:cstheme="majorHAnsi"/>
          <w:sz w:val="24"/>
          <w:szCs w:val="24"/>
          <w:highlight w:val="white"/>
        </w:rPr>
      </w:pPr>
    </w:p>
    <w:p w14:paraId="0000000F" w14:textId="77777777" w:rsidR="00477E5B" w:rsidRPr="005C0996" w:rsidRDefault="005C0996" w:rsidP="005C0996">
      <w:pPr>
        <w:ind w:left="720" w:hanging="720"/>
        <w:rPr>
          <w:rFonts w:asciiTheme="majorHAnsi" w:hAnsiTheme="majorHAnsi" w:cstheme="majorHAnsi"/>
          <w:sz w:val="24"/>
          <w:szCs w:val="24"/>
        </w:rPr>
      </w:pPr>
      <w:r w:rsidRPr="005C0996">
        <w:rPr>
          <w:rFonts w:asciiTheme="majorHAnsi" w:hAnsiTheme="majorHAnsi" w:cstheme="majorHAnsi"/>
          <w:color w:val="1F1F1F"/>
          <w:sz w:val="24"/>
          <w:szCs w:val="24"/>
        </w:rPr>
        <w:t>Calla</w:t>
      </w:r>
      <w:r w:rsidRPr="005C0996">
        <w:rPr>
          <w:rFonts w:asciiTheme="majorHAnsi" w:hAnsiTheme="majorHAnsi" w:cstheme="majorHAnsi"/>
          <w:color w:val="1F1F1F"/>
          <w:sz w:val="24"/>
          <w:szCs w:val="24"/>
        </w:rPr>
        <w:t xml:space="preserve">ghan BL, Fields A, Gee DG, </w:t>
      </w:r>
      <w:proofErr w:type="spellStart"/>
      <w:r w:rsidRPr="005C0996">
        <w:rPr>
          <w:rFonts w:asciiTheme="majorHAnsi" w:hAnsiTheme="majorHAnsi" w:cstheme="majorHAnsi"/>
          <w:color w:val="1F1F1F"/>
          <w:sz w:val="24"/>
          <w:szCs w:val="24"/>
        </w:rPr>
        <w:t>Gabard-Durnam</w:t>
      </w:r>
      <w:proofErr w:type="spellEnd"/>
      <w:r w:rsidRPr="005C0996">
        <w:rPr>
          <w:rFonts w:asciiTheme="majorHAnsi" w:hAnsiTheme="majorHAnsi" w:cstheme="majorHAnsi"/>
          <w:color w:val="1F1F1F"/>
          <w:sz w:val="24"/>
          <w:szCs w:val="24"/>
        </w:rPr>
        <w:t xml:space="preserve"> L, Caldera C, Humphreys KL, Goff B, Flannery J, </w:t>
      </w:r>
      <w:proofErr w:type="spellStart"/>
      <w:r w:rsidRPr="005C0996">
        <w:rPr>
          <w:rFonts w:asciiTheme="majorHAnsi" w:hAnsiTheme="majorHAnsi" w:cstheme="majorHAnsi"/>
          <w:color w:val="1F1F1F"/>
          <w:sz w:val="24"/>
          <w:szCs w:val="24"/>
        </w:rPr>
        <w:t>Telzer</w:t>
      </w:r>
      <w:proofErr w:type="spellEnd"/>
      <w:r w:rsidRPr="005C0996">
        <w:rPr>
          <w:rFonts w:asciiTheme="majorHAnsi" w:hAnsiTheme="majorHAnsi" w:cstheme="majorHAnsi"/>
          <w:color w:val="1F1F1F"/>
          <w:sz w:val="24"/>
          <w:szCs w:val="24"/>
        </w:rPr>
        <w:t xml:space="preserve"> EH, Shapiro M, Tottenham N. Mind and gut: associations between mood and gastrointestinal distress in children exposed to adversity. </w:t>
      </w:r>
      <w:r w:rsidRPr="005C0996">
        <w:rPr>
          <w:rFonts w:asciiTheme="majorHAnsi" w:hAnsiTheme="majorHAnsi" w:cstheme="majorHAnsi"/>
          <w:i/>
          <w:color w:val="1F1F1F"/>
          <w:sz w:val="24"/>
          <w:szCs w:val="24"/>
        </w:rPr>
        <w:t xml:space="preserve">Dev </w:t>
      </w:r>
      <w:proofErr w:type="spellStart"/>
      <w:r w:rsidRPr="005C0996">
        <w:rPr>
          <w:rFonts w:asciiTheme="majorHAnsi" w:hAnsiTheme="majorHAnsi" w:cstheme="majorHAnsi"/>
          <w:i/>
          <w:color w:val="1F1F1F"/>
          <w:sz w:val="24"/>
          <w:szCs w:val="24"/>
        </w:rPr>
        <w:t>Psychopathol</w:t>
      </w:r>
      <w:proofErr w:type="spellEnd"/>
      <w:r w:rsidRPr="005C0996">
        <w:rPr>
          <w:rFonts w:asciiTheme="majorHAnsi" w:hAnsiTheme="majorHAnsi" w:cstheme="majorHAnsi"/>
          <w:color w:val="1F1F1F"/>
          <w:sz w:val="24"/>
          <w:szCs w:val="24"/>
        </w:rPr>
        <w:t xml:space="preserve"> 28: 1–20, 2</w:t>
      </w:r>
      <w:r w:rsidRPr="005C0996">
        <w:rPr>
          <w:rFonts w:asciiTheme="majorHAnsi" w:hAnsiTheme="majorHAnsi" w:cstheme="majorHAnsi"/>
          <w:color w:val="1F1F1F"/>
          <w:sz w:val="24"/>
          <w:szCs w:val="24"/>
        </w:rPr>
        <w:t>019. doi:10.1017/S0954579419000087.</w:t>
      </w:r>
    </w:p>
    <w:p w14:paraId="00000010" w14:textId="77777777" w:rsidR="00477E5B" w:rsidRPr="005C0996" w:rsidRDefault="00477E5B">
      <w:pPr>
        <w:ind w:firstLine="720"/>
        <w:rPr>
          <w:rFonts w:asciiTheme="majorHAnsi" w:hAnsiTheme="majorHAnsi" w:cstheme="majorHAnsi"/>
          <w:sz w:val="24"/>
          <w:szCs w:val="24"/>
          <w:highlight w:val="white"/>
        </w:rPr>
      </w:pPr>
    </w:p>
    <w:sectPr w:rsidR="00477E5B" w:rsidRPr="005C099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E5B"/>
    <w:rsid w:val="002552F3"/>
    <w:rsid w:val="00477E5B"/>
    <w:rsid w:val="005C0996"/>
    <w:rsid w:val="008F7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8604B9"/>
  <w15:docId w15:val="{FC702AF4-6AB4-ED40-8406-85A03763F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391</Words>
  <Characters>2234</Characters>
  <Application>Microsoft Office Word</Application>
  <DocSecurity>0</DocSecurity>
  <Lines>18</Lines>
  <Paragraphs>5</Paragraphs>
  <ScaleCrop>false</ScaleCrop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Emily Towner</cp:lastModifiedBy>
  <cp:revision>4</cp:revision>
  <dcterms:created xsi:type="dcterms:W3CDTF">2020-03-06T17:33:00Z</dcterms:created>
  <dcterms:modified xsi:type="dcterms:W3CDTF">2020-03-06T17:37:00Z</dcterms:modified>
</cp:coreProperties>
</file>