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Document for possible references on topic chosen as main research topic:</w:t>
      </w:r>
    </w:p>
    <w:p w:rsidR="00000000" w:rsidDel="00000000" w:rsidP="00000000" w:rsidRDefault="00000000" w:rsidRPr="00000000" w14:paraId="0000000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Kaur, S., &amp; Kumar, A. (2026). Exploring electric vehicle adoption and future research directions through a bibliometric review. </w:t>
      </w:r>
      <w:r w:rsidDel="00000000" w:rsidR="00000000" w:rsidRPr="00000000">
        <w:rPr>
          <w:rFonts w:ascii="Times New Roman" w:cs="Times New Roman" w:eastAsia="Times New Roman" w:hAnsi="Times New Roman"/>
          <w:i w:val="1"/>
          <w:iCs w:val="1"/>
          <w:sz w:val="24"/>
          <w:szCs w:val="24"/>
          <w:rtl w:val="0"/>
        </w:rPr>
        <w:t xml:space="preserve">Discover Sustainability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(1).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https://doi.org/10.1007/s43621-026-03254-1</w:t>
        </w:r>
      </w:hyperlink>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analyzes 849 research papers published between 2014 and 2024 to understand the factors affecting electric vehicle adoption. It finds that EV research has grown rapidly, with major topics including charging infrastructure, smart charging, environmental sustainability, and consumer behavior. High prices, limited charging stations, and government policies remain important challenges to wider EV adoption.</w:t>
      </w:r>
    </w:p>
    <w:p w:rsidR="00000000" w:rsidDel="00000000" w:rsidP="00000000" w:rsidRDefault="00000000" w:rsidRPr="00000000" w14:paraId="00000004">
      <w:pPr>
        <w:spacing w:line="480"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Tesla’s Roadster gets thrusters and a suction system, but it’s not for public roads yet | AP News</w:t>
      </w:r>
      <w:r w:rsidDel="00000000" w:rsidR="00000000" w:rsidRPr="00000000">
        <w:rPr>
          <w:rFonts w:ascii="Times New Roman" w:cs="Times New Roman" w:eastAsia="Times New Roman" w:hAnsi="Times New Roman"/>
          <w:sz w:val="24"/>
          <w:szCs w:val="24"/>
          <w:rtl w:val="0"/>
        </w:rPr>
        <w:t xml:space="preserve">. (2026, October 16). AP News. </w:t>
      </w:r>
      <w:hyperlink r:id="rId7">
        <w:r w:rsidDel="00000000" w:rsidR="00000000" w:rsidRPr="00000000">
          <w:rPr>
            <w:rFonts w:ascii="Times New Roman" w:cs="Times New Roman" w:eastAsia="Times New Roman" w:hAnsi="Times New Roman"/>
            <w:color w:val="1155cc"/>
            <w:sz w:val="24"/>
            <w:szCs w:val="24"/>
            <w:u w:val="single"/>
            <w:rtl w:val="0"/>
          </w:rPr>
          <w:t xml:space="preserve">https://apnews.com/article/tesla-musk-roadster-rocket-7d5f19665435b7408025bfb7a2f2f0b7</w:t>
        </w:r>
      </w:hyperlink>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Tesla introduced a new Roadster concept featuring cold-gas thrusters and a suction system that can lift the car briefly into the air. However, the vehicle has faced years of delays, and its public-road approval remains uncertain because of safety and regulatory concerns. The article highlights the difference between demonstrating innovative technology and delivering a practical, road-legal product.</w:t>
      </w:r>
    </w:p>
    <w:p w:rsidR="00000000" w:rsidDel="00000000" w:rsidP="00000000" w:rsidRDefault="00000000" w:rsidRPr="00000000" w14:paraId="00000007">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(n.d.). </w:t>
      </w:r>
      <w:r w:rsidDel="00000000" w:rsidR="00000000" w:rsidRPr="00000000">
        <w:rPr>
          <w:rFonts w:ascii="Times New Roman" w:cs="Times New Roman" w:eastAsia="Times New Roman" w:hAnsi="Times New Roman"/>
          <w:i w:val="1"/>
          <w:iCs w:val="1"/>
          <w:sz w:val="24"/>
          <w:szCs w:val="24"/>
          <w:rtl w:val="0"/>
        </w:rPr>
        <w:t xml:space="preserve">NPR 7150.2C NASA Software Engineering Requirements</w:t>
      </w:r>
      <w:r w:rsidDel="00000000" w:rsidR="00000000" w:rsidRPr="00000000">
        <w:rPr>
          <w:rFonts w:ascii="Times New Roman" w:cs="Times New Roman" w:eastAsia="Times New Roman" w:hAnsi="Times New Roman"/>
          <w:sz w:val="24"/>
          <w:szCs w:val="24"/>
          <w:rtl w:val="0"/>
        </w:rPr>
        <w:t xml:space="preserve">. NASA. </w:t>
      </w:r>
      <w:hyperlink r:id="rId8">
        <w:r w:rsidDel="00000000" w:rsidR="00000000" w:rsidRPr="00000000">
          <w:rPr>
            <w:rFonts w:ascii="Times New Roman" w:cs="Times New Roman" w:eastAsia="Times New Roman" w:hAnsi="Times New Roman"/>
            <w:color w:val="1155cc"/>
            <w:sz w:val="24"/>
            <w:szCs w:val="24"/>
            <w:u w:val="single"/>
            <w:rtl w:val="0"/>
          </w:rPr>
          <w:t xml:space="preserve">https://nodis3.gsfc.nasa.gov/displayAll.cfm?Internal_ID=N_PR_7150_002C_&amp;utm_source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practices such as version control, risk management, and testing help teams track changes, reduce errors, and maintain software quality throughout long development projects.</w:t>
      </w:r>
    </w:p>
    <w:p w:rsidR="00000000" w:rsidDel="00000000" w:rsidP="00000000" w:rsidRDefault="00000000" w:rsidRPr="00000000" w14:paraId="00000009">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N. (n.d.). </w:t>
      </w:r>
      <w:r w:rsidDel="00000000" w:rsidR="00000000" w:rsidRPr="00000000">
        <w:rPr>
          <w:rFonts w:ascii="Times New Roman" w:cs="Times New Roman" w:eastAsia="Times New Roman" w:hAnsi="Times New Roman"/>
          <w:i w:val="1"/>
          <w:iCs w:val="1"/>
          <w:sz w:val="24"/>
          <w:szCs w:val="24"/>
          <w:rtl w:val="0"/>
        </w:rPr>
        <w:t xml:space="preserve">NHTSA updates cybersecurity best practices for New Vehicles</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https://www.nhtsa.gov/press-releases/nhtsa-updates-cybersecurity-best-practices-new-vehicles?utm_source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software updates must be protected from hackers and unauthorized changes. Manufacturers should verify software authenticity, identify cybersecurity risks, and develop recovery plans to prevent update failures. These practices help keep vehicle software safe and reliable.</w:t>
      </w:r>
    </w:p>
    <w:p w:rsidR="00000000" w:rsidDel="00000000" w:rsidP="00000000" w:rsidRDefault="00000000" w:rsidRPr="00000000" w14:paraId="0000000B">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&amp;#197;gren, S. M., Knauss, E., Heldal, R., Pelliccione, P., Malmqvist, G., &amp; Bod&amp;#233;n, J. (2019, July 16). </w:t>
      </w:r>
      <w:r w:rsidDel="00000000" w:rsidR="00000000" w:rsidRPr="00000000">
        <w:rPr>
          <w:rFonts w:ascii="Times New Roman" w:cs="Times New Roman" w:eastAsia="Times New Roman" w:hAnsi="Times New Roman"/>
          <w:i w:val="1"/>
          <w:iCs w:val="1"/>
          <w:sz w:val="24"/>
          <w:szCs w:val="24"/>
          <w:rtl w:val="0"/>
        </w:rPr>
        <w:t xml:space="preserve">The impact of requirements on Systems Development Speed: A multiple-case study in automotive - Requirements Engineering</w:t>
      </w:r>
      <w:r w:rsidDel="00000000" w:rsidR="00000000" w:rsidRPr="00000000">
        <w:rPr>
          <w:rFonts w:ascii="Times New Roman" w:cs="Times New Roman" w:eastAsia="Times New Roman" w:hAnsi="Times New Roman"/>
          <w:sz w:val="24"/>
          <w:szCs w:val="24"/>
          <w:rtl w:val="0"/>
        </w:rPr>
        <w:t xml:space="preserve">. SpringerLink.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https://link.springer.com/article/10.1007/s00766-019-00319-8?utm_source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software projects often face changing requirements and strict safety standards. Effective requirements management helps teams control changes and improve development efficiency.</w:t>
        <w:br w:type="textWrapping"/>
        <w:tab/>
        <w:t xml:space="preserve">6. </w:t>
      </w:r>
      <w:r w:rsidDel="00000000" w:rsidR="00000000" w:rsidRPr="00000000">
        <w:rPr>
          <w:rFonts w:ascii="Times New Roman" w:cs="Times New Roman" w:eastAsia="Times New Roman" w:hAnsi="Times New Roman"/>
          <w:i w:val="1"/>
          <w:iCs w:val="1"/>
          <w:sz w:val="24"/>
          <w:szCs w:val="24"/>
          <w:rtl w:val="0"/>
        </w:rPr>
        <w:t xml:space="preserve">EUR-LEX - 42021X0388 - EN - EUR-LEX</w:t>
      </w:r>
      <w:r w:rsidDel="00000000" w:rsidR="00000000" w:rsidRPr="00000000">
        <w:rPr>
          <w:rFonts w:ascii="Times New Roman" w:cs="Times New Roman" w:eastAsia="Times New Roman" w:hAnsi="Times New Roman"/>
          <w:sz w:val="24"/>
          <w:szCs w:val="24"/>
          <w:rtl w:val="0"/>
        </w:rPr>
        <w:t xml:space="preserve">. (n.d.). </w:t>
      </w:r>
      <w:hyperlink r:id="rId11">
        <w:r w:rsidDel="00000000" w:rsidR="00000000" w:rsidRPr="00000000">
          <w:rPr>
            <w:rFonts w:ascii="Times New Roman" w:cs="Times New Roman" w:eastAsia="Times New Roman" w:hAnsi="Times New Roman"/>
            <w:color w:val="1155cc"/>
            <w:sz w:val="24"/>
            <w:szCs w:val="24"/>
            <w:u w:val="single"/>
            <w:rtl w:val="0"/>
          </w:rPr>
          <w:t xml:space="preserve">https://eur-lex.europa.eu/eli/reg/2021/388/oj</w:t>
        </w:r>
      </w:hyperlink>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R156 makes manufacturers run a formal Software Update Management System as a condition of selling vehicles. They must be able to show at any moment which software version is on which vehicle type, and whether an update changes anything the vehicle was approved on. It applies to every update, including wired updates done in a workshop, and has been mandatory for all new vehicles since July 2024. It covers the governance half. Before an update can control braking or steering, the manufacturer has to identify which approved systems it touches, assess whether the change affects that approval, and keep traceable records. It does not say how to test the code itself, which is why it pairs with the next source.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i w:val="1"/>
          <w:iCs w:val="1"/>
          <w:sz w:val="24"/>
          <w:szCs w:val="24"/>
          <w:rtl w:val="0"/>
        </w:rPr>
        <w:t xml:space="preserve">Formal verification of automotive design in compliance with ISO 26262 Design Verification Guidelines</w:t>
      </w:r>
      <w:r w:rsidDel="00000000" w:rsidR="00000000" w:rsidRPr="00000000">
        <w:rPr>
          <w:rFonts w:ascii="Times New Roman" w:cs="Times New Roman" w:eastAsia="Times New Roman" w:hAnsi="Times New Roman"/>
          <w:sz w:val="24"/>
          <w:szCs w:val="24"/>
          <w:rtl w:val="0"/>
        </w:rPr>
        <w:t xml:space="preserve">. (n.d.). IEEE Journals &amp; Magazine | IEEE Xplore. </w:t>
      </w:r>
      <w:hyperlink r:id="rId12">
        <w:r w:rsidDel="00000000" w:rsidR="00000000" w:rsidRPr="00000000">
          <w:rPr>
            <w:rFonts w:ascii="Times New Roman" w:cs="Times New Roman" w:eastAsia="Times New Roman" w:hAnsi="Times New Roman"/>
            <w:color w:val="1155cc"/>
            <w:sz w:val="24"/>
            <w:szCs w:val="24"/>
            <w:u w:val="single"/>
            <w:rtl w:val="0"/>
          </w:rPr>
          <w:t xml:space="preserve">https://ieeexplore.ieee.org/document/7879875</w:t>
        </w:r>
      </w:hyperlink>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explains that ISO 26262 ranks each vehicle function by risk from ASIL A to D. Higher levels require stricter verification, including semiformal and formal methods for ASIL C and D. The authors applied semiformal verification to a real watchdog manager design and found defects that had previously only been caught in testing and production. It covers the technical half. Braking and steering sit at the high end of the ASIL scale, so updates to them need mathematically rigorous verification on top of normal testing. The case study supports the argument that catching defects at design time beats discovering them after an update ships.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Together:</w:t>
      </w:r>
      <w:r w:rsidDel="00000000" w:rsidR="00000000" w:rsidRPr="00000000">
        <w:rPr>
          <w:rFonts w:ascii="Times New Roman" w:cs="Times New Roman" w:eastAsia="Times New Roman" w:hAnsi="Times New Roman"/>
          <w:sz w:val="24"/>
          <w:szCs w:val="24"/>
          <w:rtl w:val="0"/>
        </w:rPr>
        <w:t xml:space="preserve"> R156 controls whether and how an update is released. ISO 26262 controls how thoroughly the changed code is proven correct. Safety validation needs both.</w:t>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8. Kalra, N., &amp; Paddock, S. M. (2016, April 12). </w:t>
      </w:r>
      <w:r w:rsidDel="00000000" w:rsidR="00000000" w:rsidRPr="00000000">
        <w:rPr>
          <w:rFonts w:ascii="Times New Roman" w:cs="Times New Roman" w:eastAsia="Times New Roman" w:hAnsi="Times New Roman"/>
          <w:i w:val="1"/>
          <w:iCs w:val="1"/>
          <w:sz w:val="24"/>
          <w:szCs w:val="24"/>
          <w:rtl w:val="0"/>
        </w:rPr>
        <w:t xml:space="preserve">Driving to safety: How many miles of driving would it take to demonstrate autonomous vehicle reliability?</w:t>
      </w:r>
      <w:r w:rsidDel="00000000" w:rsidR="00000000" w:rsidRPr="00000000">
        <w:rPr>
          <w:rFonts w:ascii="Times New Roman" w:cs="Times New Roman" w:eastAsia="Times New Roman" w:hAnsi="Times New Roman"/>
          <w:sz w:val="24"/>
          <w:szCs w:val="24"/>
          <w:rtl w:val="0"/>
        </w:rPr>
        <w:t xml:space="preserve"> RAND. </w:t>
      </w:r>
      <w:hyperlink r:id="rId13">
        <w:r w:rsidDel="00000000" w:rsidR="00000000" w:rsidRPr="00000000">
          <w:rPr>
            <w:rFonts w:ascii="Times New Roman" w:cs="Times New Roman" w:eastAsia="Times New Roman" w:hAnsi="Times New Roman"/>
            <w:color w:val="1155cc"/>
            <w:sz w:val="24"/>
            <w:szCs w:val="24"/>
            <w:u w:val="single"/>
            <w:rtl w:val="0"/>
          </w:rPr>
          <w:t xml:space="preserve">https://www.rand.org/pubs/research_reports/RR1478.html</w:t>
        </w:r>
      </w:hyperlink>
      <w:r w:rsidDel="00000000" w:rsidR="00000000" w:rsidRPr="00000000">
        <w:rPr>
          <w:rtl w:val="0"/>
        </w:rPr>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 used statistical analysis to ask how many miles an autonomous fleet would need to drive to prove it is safer than human drivers. The answer is hundreds of millions of miles, sometimes hundreds of billions. Even aggressive fleets would need tens to hundreds of years to log that distance. It establishes the problem. Rare and dangerous events are too infrequent to observe reliably on public roads, so mileage cannot serve as proof of safety. That justifies simulation and scenario-based testing as necessary rather than optional. </w:t>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9. Kusano, K. D., Beatty, K., Schnelle, S., Favaro, F., Crary, C., &amp; Victor, T. (2022, December 15). </w:t>
      </w:r>
      <w:r w:rsidDel="00000000" w:rsidR="00000000" w:rsidRPr="00000000">
        <w:rPr>
          <w:rFonts w:ascii="Times New Roman" w:cs="Times New Roman" w:eastAsia="Times New Roman" w:hAnsi="Times New Roman"/>
          <w:i w:val="1"/>
          <w:iCs w:val="1"/>
          <w:sz w:val="24"/>
          <w:szCs w:val="24"/>
          <w:rtl w:val="0"/>
        </w:rPr>
        <w:t xml:space="preserve">Collision avoidance testing of the Waymo Automated Driving System</w:t>
      </w:r>
      <w:r w:rsidDel="00000000" w:rsidR="00000000" w:rsidRPr="00000000">
        <w:rPr>
          <w:rFonts w:ascii="Times New Roman" w:cs="Times New Roman" w:eastAsia="Times New Roman" w:hAnsi="Times New Roman"/>
          <w:sz w:val="24"/>
          <w:szCs w:val="24"/>
          <w:rtl w:val="0"/>
        </w:rPr>
        <w:t xml:space="preserve">. arXiv.org. </w:t>
      </w:r>
      <w:hyperlink r:id="rId14">
        <w:r w:rsidDel="00000000" w:rsidR="00000000" w:rsidRPr="00000000">
          <w:rPr>
            <w:rFonts w:ascii="Times New Roman" w:cs="Times New Roman" w:eastAsia="Times New Roman" w:hAnsi="Times New Roman"/>
            <w:color w:val="1155cc"/>
            <w:sz w:val="24"/>
            <w:szCs w:val="24"/>
            <w:u w:val="single"/>
            <w:rtl w:val="0"/>
          </w:rPr>
          <w:t xml:space="preserve">https://arxiv.org/abs/2212.08148</w:t>
        </w:r>
      </w:hyperlink>
      <w:r w:rsidDel="00000000" w:rsidR="00000000" w:rsidRPr="00000000">
        <w:rPr>
          <w:rtl w:val="0"/>
        </w:rPr>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Waymo describes a scenario-based method for testing how its system responds when other road users create urgent conflicts. Scenarios come from closed-track tests, real on-road incidents, and synthetic generation, and all are rebuilt in simulation. Each new software release is run against the full scenario library, thousands of cases in hours. It provides the solution in practice. Dangerous cases are staged safely or captured once, then replayed in simulation for every new release. For coverage, Waymo argues that years of iterative scenario collection produce a library that converges to a representative set for its operating area. Note the limit: these are self-reported claims without independent audit. </w:t>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Together:</w:t>
      </w:r>
      <w:r w:rsidDel="00000000" w:rsidR="00000000" w:rsidRPr="00000000">
        <w:rPr>
          <w:rFonts w:ascii="Times New Roman" w:cs="Times New Roman" w:eastAsia="Times New Roman" w:hAnsi="Times New Roman"/>
          <w:sz w:val="24"/>
          <w:szCs w:val="24"/>
          <w:rtl w:val="0"/>
        </w:rPr>
        <w:t xml:space="preserve"> RAND shows why road miles can’t prove safety. Waymo shows the replacement: a curated scenario library run in simulation, with coverage measured against a defined operating domain rather than total distance. </w:t>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10. Mohan, A., Sripad, S., Vaishnav, P., &amp; Viswanathan, V. (2020). Trade-offs between automation and light vehicle electrification. </w:t>
      </w:r>
      <w:r w:rsidDel="00000000" w:rsidR="00000000" w:rsidRPr="00000000">
        <w:rPr>
          <w:rFonts w:ascii="Times New Roman" w:cs="Times New Roman" w:eastAsia="Times New Roman" w:hAnsi="Times New Roman"/>
          <w:i w:val="1"/>
          <w:iCs w:val="1"/>
          <w:sz w:val="24"/>
          <w:szCs w:val="24"/>
          <w:rtl w:val="0"/>
        </w:rPr>
        <w:t xml:space="preserve">Nature Energy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(7), 543–549.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https://doi.org/10.1038/s41560-020-0644-3</w:t>
        </w:r>
      </w:hyperlink>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vehicle dynamics model, the authors added the weight, power draw, and drag of autonomy hardware to an electric vehicle. Automation cut range by roughly 5–10% in suburban driving and 10–15% in city driving. Sensor drag mattered most in suburbs, computing load in cities, and battery lifespan was barely affected. </w:t>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quantifies the trade-off between software and battery. The computing load needed to run autonomy software directly reduces range, so software efficiency is a range problem as well as a performance one. The authors conclude that efficient computing and aerodynamic sensors make electric autonomous vehicles viable. </w:t>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ur-lex.europa.eu/eli/reg/2021/388/oj" TargetMode="External"/><Relationship Id="rId10" Type="http://schemas.openxmlformats.org/officeDocument/2006/relationships/hyperlink" Target="https://link.springer.com/article/10.1007/s00766-019-00319-8?utm_source" TargetMode="External"/><Relationship Id="rId13" Type="http://schemas.openxmlformats.org/officeDocument/2006/relationships/hyperlink" Target="https://www.rand.org/pubs/research_reports/RR1478.html" TargetMode="External"/><Relationship Id="rId12" Type="http://schemas.openxmlformats.org/officeDocument/2006/relationships/hyperlink" Target="https://ieeexplore.ieee.org/document/78798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htsa.gov/press-releases/nhtsa-updates-cybersecurity-best-practices-new-vehicles?utm_source" TargetMode="External"/><Relationship Id="rId15" Type="http://schemas.openxmlformats.org/officeDocument/2006/relationships/hyperlink" Target="https://doi.org/10.1038/s41560-020-0644-3" TargetMode="External"/><Relationship Id="rId14" Type="http://schemas.openxmlformats.org/officeDocument/2006/relationships/hyperlink" Target="https://arxiv.org/abs/2212.08148" TargetMode="External"/><Relationship Id="rId5" Type="http://schemas.openxmlformats.org/officeDocument/2006/relationships/styles" Target="styles.xml"/><Relationship Id="rId6" Type="http://schemas.openxmlformats.org/officeDocument/2006/relationships/hyperlink" Target="https://doi.org/10.1007/s43621-026-03254-1" TargetMode="External"/><Relationship Id="rId7" Type="http://schemas.openxmlformats.org/officeDocument/2006/relationships/hyperlink" Target="https://apnews.com/article/tesla-musk-roadster-rocket-7d5f19665435b7408025bfb7a2f2f0b7" TargetMode="External"/><Relationship Id="rId8" Type="http://schemas.openxmlformats.org/officeDocument/2006/relationships/hyperlink" Target="https://nodis3.gsfc.nasa.gov/displayAll.cfm?Internal_ID=N_PR_7150_002C_&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