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sdddx15sk47t" w:id="0"/>
      <w:bookmarkEnd w:id="0"/>
      <w:r w:rsidDel="00000000" w:rsidR="00000000" w:rsidRPr="00000000">
        <w:rPr>
          <w:rtl w:val="0"/>
        </w:rPr>
        <w:t xml:space="preserve">Month 11: Identity Beyond Sport &amp; Balance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End-of-season (January–February)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Supporting athletes to develop a balanced sense of self and plan for life beyond sport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8h307lyfpm4k" w:id="1"/>
      <w:bookmarkEnd w:id="1"/>
      <w:r w:rsidDel="00000000" w:rsidR="00000000" w:rsidRPr="00000000">
        <w:rPr>
          <w:rtl w:val="0"/>
        </w:rPr>
        <w:t xml:space="preserve">Week 1 – Understanding Athletic Identity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athletic identity is and how it shapes self-worth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of over-identifying with sport alone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impact of performance fluctuations and season transitions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Identity Measurement Scale (AIMS)</w:t>
      </w:r>
      <w:r w:rsidDel="00000000" w:rsidR="00000000" w:rsidRPr="00000000">
        <w:rPr>
          <w:rtl w:val="0"/>
        </w:rPr>
        <w:t xml:space="preserve"> – Brewer et al., 1993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identity and self-worth in female athletes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on transitions and post-sport adjustment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the influence of athletic identity on wellbeing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that self-worth extends beyond performance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the benefits of balanced identity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explaining athletic identity and balance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illustrating identity beyond sport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risk of low self-esteem and mental health issues linked to over-identification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psychological resilience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gvn2a1kcgvry" w:id="2"/>
      <w:bookmarkEnd w:id="2"/>
      <w:r w:rsidDel="00000000" w:rsidR="00000000" w:rsidRPr="00000000">
        <w:rPr>
          <w:rtl w:val="0"/>
        </w:rPr>
        <w:t xml:space="preserve">Week 2 – Practical Tools: Values &amp; Balance Planning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Values-based goal setting for sport, education, and personal life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 and prioritisation strategies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Establishing routines that support balance and recovery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Goal-Setting Theory (Locke &amp; Latham)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research on balance and dual-career athletes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Cognitive-behavioral strategies for time management and wellbeing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personal values and align goals across life domains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actionable plans for balanced schedules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stress from over-commitment or narrow identity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goal-setting and balance exercises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(values mapping + time management examples)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“Balance Planner” via email newsletter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healthy work-life-sport balance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risk of burnout and mental health strain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u7jicykokjch" w:id="3"/>
      <w:bookmarkEnd w:id="3"/>
      <w:r w:rsidDel="00000000" w:rsidR="00000000" w:rsidRPr="00000000">
        <w:rPr>
          <w:rtl w:val="0"/>
        </w:rPr>
        <w:t xml:space="preserve">Week 3 – Applying Identity &amp; Balance Strategies in LGF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Translating values-based planning to training, matches, and team dynamics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performance goals with personal and academic/professional goals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teammates to maintain balanced perspectives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on dual-career and life balance in female athletes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support literature on team culture and shared wellbeing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from amateur and elite female sports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balance strategies in real-world LGF contexts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performance while nurturing personal development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Foster supportive team culture that values holistic wellbeing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LGF-specific examples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encouraging reflection and sharing balance strategies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applied exercises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Promotes psychological safety and sustainable performance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stress and identity-related anxiety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6gj0g0ypnvhm" w:id="4"/>
      <w:bookmarkEnd w:id="4"/>
      <w:r w:rsidDel="00000000" w:rsidR="00000000" w:rsidRPr="00000000">
        <w:rPr>
          <w:rtl w:val="0"/>
        </w:rPr>
        <w:t xml:space="preserve">Week 4 – Transition Stress &amp; Support Pathways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signs of stress, depression, or anxiety during transitions (season end, career change)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pathways: NHS/HSE, GP, club welfare officer, mental health professionals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Strategies to protect mental health during change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on anxiety and depression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athlete transition and mental wellbeing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mental health risks during transitions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and how to access professional support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resilience and proactive coping strategies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explaining transition stress and support options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guidance and club contacts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players from mental health crises during transitions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early intervention and safe coping strategies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9.0388381595598"/>
        <w:gridCol w:w="2956.155352638239"/>
        <w:gridCol w:w="2526.589027957995"/>
        <w:gridCol w:w="2803.7285922678298"/>
        <w:tblGridChange w:id="0">
          <w:tblGrid>
            <w:gridCol w:w="739.0388381595598"/>
            <w:gridCol w:w="2956.155352638239"/>
            <w:gridCol w:w="2526.589027957995"/>
            <w:gridCol w:w="2803.72859226782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Athletic identity; self-worth beyond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Introduce concepts and awareness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Values-based goal setting; balance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Practical tools to expand focus beyond sport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Applying identity &amp; balance strategies in LGF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Relating strategies to training, matches, and personal life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Transition stress; depression/anxiety signs; supports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Safeguarding and mental health literacy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