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BDDK erişimi ve veri denetimi</w:t>
      </w:r>
    </w:p>
    <w:p>
      <w:r>
        <w:t>KKB hackathonu için derin araştırma ve uygulanabilir kararlar</w:t>
      </w:r>
    </w:p>
    <w:p>
      <w:r>
        <w:t>Emin Durmuş ve ekip için · 7 Eylül 2026 · Türkiye · Hedef dönem: Ocak 2021–Haziran 2026</w:t>
      </w:r>
    </w:p>
    <w:p>
      <w:r/>
      <w:r>
        <w:rPr>
          <w:b/>
        </w:rPr>
        <w:t>Net sonuç:</w:t>
      </w:r>
      <w:r>
        <w:t xml:space="preserve"> Doğrudan BDDK indirmesi bu ortamda tamamlanamadı. Artık hata belirsiz değil: ara bağlantı katmanı, BDDK bağlantısında sertifika zincirini doğrulayamadığını bildiriyor. Yerel bilgisayarda çalışacak indirici hazır; başarılı canlı BDDK yanıtı henüz sınanmadı.</w:t>
      </w:r>
    </w:p>
    <w:p>
      <w:r/>
      <w:r>
        <w:rPr>
          <w:b/>
        </w:rPr>
        <w:t>Veri tarafında ilerleme somut:</w:t>
      </w:r>
      <w:r>
        <w:t xml:space="preserve"> 25 EVDS serisini yeniden denetledik, önemli bir kaynak tutarsızlığı bulduk ve hesaplara kalite uyarısı taşıdık. HMB üzerinden 54 aylık BDDK kaynaklı bakiye, TBB üzerinden 20 çeyreklik kredi kullandırım verisi ekledik. Farklı kaynaklar kendi kapsamlarıyla birleştirildi.</w:t>
      </w:r>
    </w:p>
    <w:p>
      <w:r/>
      <w:r>
        <w:rPr>
          <w:b/>
        </w:rPr>
        <w:t>Model kararı:</w:t>
      </w:r>
      <w:r>
        <w:t xml:space="preserve"> Şimdi LLM fine-tuning yapmayın. Öncelik, doğru veriyi seçen, hesapları araçla yapan ve aynı tablo üzerinde devam eden genel motor. Bu bir mühendislik önerisidir; yarışma modelinde ölçülmüş karşılaştırmalı başarı sonucu değildir.</w:t>
      </w:r>
    </w:p>
    <w:p>
      <w:pPr>
        <w:pStyle w:val="Heading1"/>
      </w:pPr>
      <w:r>
        <w:t>Teslim edilen çalışma</w:t>
      </w:r>
    </w:p>
    <w:tbl>
      <w:tblPr>
        <w:tblW w:type="dxa" w:w="9360"/>
        <w:tblLayout w:type="fixed"/>
        <w:tblLook w:firstColumn="1" w:firstRow="1" w:lastColumn="0" w:lastRow="0" w:noHBand="0" w:noVBand="1" w:val="04A0"/>
        <w:jc w:val="left"/>
        <w:tblBorders>
          <w:top w:val="single" w:sz="4" w:color="D6DEE7"/>
          <w:left w:val="single" w:sz="4" w:color="D6DEE7"/>
          <w:bottom w:val="single" w:sz="4" w:color="D6DEE7"/>
          <w:right w:val="single" w:sz="4" w:color="D6DEE7"/>
          <w:insideH w:val="single" w:sz="4" w:color="D6DEE7"/>
          <w:insideV w:val="single" w:sz="4" w:color="D6DEE7"/>
        </w:tblBorders>
        <w:tblInd w:type="dxa" w:w="120"/>
      </w:tblPr>
      <w:tblGrid>
        <w:gridCol w:w="2850"/>
        <w:gridCol w:w="6510"/>
      </w:tblGrid>
      <w:tr>
        <w:trPr>
          <w:tblHeader/>
          <w:cantSplit/>
        </w:trPr>
        <w:tc>
          <w:tcPr>
            <w:tcW w:type="dxa" w:w="2850"/>
            <w:shd w:fill="F2F4F7"/>
            <w:vAlign w:val="center"/>
            <w:tcMar>
              <w:top w:w="80" w:type="dxa"/>
              <w:bottom w:w="80" w:type="dxa"/>
              <w:start w:w="120" w:type="dxa"/>
              <w:end w:w="120" w:type="dxa"/>
            </w:tcMar>
          </w:tcPr>
          <w:p>
            <w:pPr>
              <w:pStyle w:val="TableText"/>
            </w:pPr>
            <w:r>
              <w:rPr>
                <w:b/>
              </w:rPr>
              <w:t>Parça</w:t>
            </w:r>
          </w:p>
        </w:tc>
        <w:tc>
          <w:tcPr>
            <w:tcW w:type="dxa" w:w="6510"/>
            <w:shd w:fill="F2F4F7"/>
            <w:vAlign w:val="center"/>
            <w:tcMar>
              <w:top w:w="80" w:type="dxa"/>
              <w:bottom w:w="80" w:type="dxa"/>
              <w:start w:w="120" w:type="dxa"/>
              <w:end w:w="120" w:type="dxa"/>
            </w:tcMar>
          </w:tcPr>
          <w:p>
            <w:pPr>
              <w:pStyle w:val="TableText"/>
            </w:pPr>
            <w:r>
              <w:rPr>
                <w:b/>
              </w:rPr>
              <w:t>İçerik ve doğrulama sınırı</w:t>
            </w:r>
          </w:p>
        </w:tc>
      </w:tr>
      <w:tr>
        <w:trPr>
          <w:cantSplit/>
        </w:trPr>
        <w:tc>
          <w:tcPr>
            <w:tcW w:type="dxa" w:w="2850"/>
            <w:vAlign w:val="center"/>
            <w:tcMar>
              <w:top w:w="80" w:type="dxa"/>
              <w:bottom w:w="80" w:type="dxa"/>
              <w:start w:w="120" w:type="dxa"/>
              <w:end w:w="120" w:type="dxa"/>
            </w:tcMar>
          </w:tcPr>
          <w:p>
            <w:pPr>
              <w:pStyle w:val="TableText"/>
            </w:pPr>
            <w:r>
              <w:t>BDDK_Indirme_Araci.py</w:t>
            </w:r>
          </w:p>
        </w:tc>
        <w:tc>
          <w:tcPr>
            <w:tcW w:type="dxa" w:w="6510"/>
            <w:vAlign w:val="center"/>
            <w:tcMar>
              <w:top w:w="80" w:type="dxa"/>
              <w:bottom w:w="80" w:type="dxa"/>
              <w:start w:w="120" w:type="dxa"/>
              <w:end w:w="120" w:type="dxa"/>
            </w:tcMar>
          </w:tcPr>
          <w:p>
            <w:pPr>
              <w:pStyle w:val="TableText"/>
            </w:pPr>
            <w:r>
              <w:t>Aylık tablo indiricisi; gerçek 502 hata yolu ve sentetik yanıt ayrıştırması sınandı.</w:t>
            </w:r>
          </w:p>
        </w:tc>
      </w:tr>
      <w:tr>
        <w:trPr>
          <w:cantSplit/>
        </w:trPr>
        <w:tc>
          <w:tcPr>
            <w:tcW w:type="dxa" w:w="2850"/>
            <w:vAlign w:val="center"/>
            <w:tcMar>
              <w:top w:w="80" w:type="dxa"/>
              <w:bottom w:w="80" w:type="dxa"/>
              <w:start w:w="120" w:type="dxa"/>
              <w:end w:w="120" w:type="dxa"/>
            </w:tcMar>
          </w:tcPr>
          <w:p>
            <w:pPr>
              <w:pStyle w:val="TableText"/>
            </w:pPr>
            <w:r>
              <w:t>Güncellenmiş veri paketi</w:t>
            </w:r>
          </w:p>
        </w:tc>
        <w:tc>
          <w:tcPr>
            <w:tcW w:type="dxa" w:w="6510"/>
            <w:vAlign w:val="center"/>
            <w:tcMar>
              <w:top w:w="80" w:type="dxa"/>
              <w:bottom w:w="80" w:type="dxa"/>
              <w:start w:w="120" w:type="dxa"/>
              <w:end w:w="120" w:type="dxa"/>
            </w:tcMar>
          </w:tcPr>
          <w:p>
            <w:pPr>
              <w:pStyle w:val="TableText"/>
            </w:pPr>
            <w:r>
              <w:t>Ham EVDS yanıtları, metadata, SQL/CSV/Parquet, ek kaynaklar, kalite uyarıları ve yeniden üretim kodu.</w:t>
            </w:r>
          </w:p>
        </w:tc>
      </w:tr>
      <w:tr>
        <w:trPr>
          <w:cantSplit/>
        </w:trPr>
        <w:tc>
          <w:tcPr>
            <w:tcW w:type="dxa" w:w="2850"/>
            <w:vAlign w:val="center"/>
            <w:tcMar>
              <w:top w:w="80" w:type="dxa"/>
              <w:bottom w:w="80" w:type="dxa"/>
              <w:start w:w="120" w:type="dxa"/>
              <w:end w:w="120" w:type="dxa"/>
            </w:tcMar>
          </w:tcPr>
          <w:p>
            <w:pPr>
              <w:pStyle w:val="TableText"/>
            </w:pPr>
            <w:r>
              <w:t>Notebook</w:t>
            </w:r>
          </w:p>
        </w:tc>
        <w:tc>
          <w:tcPr>
            <w:tcW w:type="dxa" w:w="6510"/>
            <w:vAlign w:val="center"/>
            <w:tcMar>
              <w:top w:w="80" w:type="dxa"/>
              <w:bottom w:w="80" w:type="dxa"/>
              <w:start w:w="120" w:type="dxa"/>
              <w:end w:w="120" w:type="dxa"/>
            </w:tcMar>
          </w:tcPr>
          <w:p>
            <w:pPr>
              <w:pStyle w:val="TableText"/>
            </w:pPr>
            <w:r>
              <w:t>25 gömülü EVDS serisi; 8 Python hücresi gerçek çıktılarıyla çalıştırıldı.</w:t>
            </w:r>
          </w:p>
        </w:tc>
      </w:tr>
      <w:tr>
        <w:trPr>
          <w:cantSplit/>
        </w:trPr>
        <w:tc>
          <w:tcPr>
            <w:tcW w:type="dxa" w:w="2850"/>
            <w:vAlign w:val="center"/>
            <w:tcMar>
              <w:top w:w="80" w:type="dxa"/>
              <w:bottom w:w="80" w:type="dxa"/>
              <w:start w:w="120" w:type="dxa"/>
              <w:end w:w="120" w:type="dxa"/>
            </w:tcMar>
          </w:tcPr>
          <w:p>
            <w:pPr>
              <w:pStyle w:val="TableText"/>
            </w:pPr>
            <w:r>
              <w:t>İç değerlendirme taslağı</w:t>
            </w:r>
          </w:p>
        </w:tc>
        <w:tc>
          <w:tcPr>
            <w:tcW w:type="dxa" w:w="6510"/>
            <w:vAlign w:val="center"/>
            <w:tcMar>
              <w:top w:w="80" w:type="dxa"/>
              <w:bottom w:w="80" w:type="dxa"/>
              <w:start w:w="120" w:type="dxa"/>
              <w:end w:w="120" w:type="dxa"/>
            </w:tcMar>
          </w:tcPr>
          <w:p>
            <w:pPr>
              <w:pStyle w:val="TableText"/>
            </w:pPr>
            <w:r>
              <w:t>60 soru ve 10 konuşma zinciri. Yarışma LLM'i üzerinde çalıştırılmadı.</w:t>
            </w:r>
          </w:p>
        </w:tc>
      </w:tr>
    </w:tbl>
    <w:p>
      <w:pPr>
        <w:pStyle w:val="TableCitation"/>
      </w:pPr>
      <w:r/>
    </w:p>
    <w:p>
      <w:r>
        <w:t>Araştırma; üç paylaşılan dosya, resmî veri ürünleri, indirilen kaynak dosyaları ve birincil teknik dokümanlarla yürütüldü. Bu rapor önceki paketin erişim belirsizliği ve veri kalitesi durumunu günceller. Her gözlemin bağımsız ikinci yayında doğrulandığı iddia edilmez.</w:t>
      </w:r>
    </w:p>
    <w:p>
      <w:r>
        <w:br w:type="page"/>
      </w:r>
    </w:p>
    <w:p>
      <w:pPr>
        <w:pStyle w:val="Heading1"/>
      </w:pPr>
      <w:r>
        <w:t>BDDK 502: bildiğimiz neden ve kalan iş</w:t>
      </w:r>
    </w:p>
    <w:p>
      <w:r>
        <w:t xml:space="preserve">Aylık veri adresine doğru form alanlarıyla yapılan POST dahil, ana resmî hostlara normal HTTPS istekleri aynı 185 baytlık hata gövdesini verdi. Yanıt başlığı </w:t>
      </w:r>
      <w:r>
        <w:rPr>
          <w:rFonts w:ascii="Consolas" w:hAnsi="Consolas"/>
          <w:sz w:val="18"/>
        </w:rPr>
        <w:t>Server: mitmproxy 12.2.3</w:t>
      </w:r>
      <w:r>
        <w:t xml:space="preserve">; gövdede </w:t>
      </w:r>
      <w:r>
        <w:rPr>
          <w:rFonts w:ascii="Consolas" w:hAnsi="Consolas"/>
          <w:sz w:val="18"/>
        </w:rPr>
        <w:t>Certificate verify failed: unable to get local issuer certificate</w:t>
      </w:r>
      <w:r>
        <w:t xml:space="preserve"> yazıyor. Gerçek yanıt ve zaman kayıtları pakette korunuyor.</w:t>
      </w:r>
    </w:p>
    <w:p>
      <w:r>
        <w:t>Bu kanıt, bağlantı aracısının BDDK tarafındaki TLS sertifikasını doğrulayamadığını gösterir. Sertifika zincirinin sunuluşu mu yoksa aracının güven deposu mu sorumlu, bu ortamdan kesinleştirilemedi. BDDK uygulamasının kapalı olduğu, API anahtarı gerektiği, rate limit veya WAF engeli bulunduğu sonucu çıkarılamaz. Python'un yerel CA dosyasını değiştirmek aracının upstream doğrulamasını onarmaz.</w:t>
      </w:r>
    </w:p>
    <w:tbl>
      <w:tblPr>
        <w:tblW w:type="dxa" w:w="9360"/>
        <w:tblLayout w:type="fixed"/>
        <w:tblLook w:firstColumn="1" w:firstRow="1" w:lastColumn="0" w:lastRow="0" w:noHBand="0" w:noVBand="1" w:val="04A0"/>
        <w:jc w:val="left"/>
        <w:tblBorders>
          <w:top w:val="single" w:sz="4" w:color="D6DEE7"/>
          <w:left w:val="single" w:sz="4" w:color="D6DEE7"/>
          <w:bottom w:val="single" w:sz="4" w:color="D6DEE7"/>
          <w:right w:val="single" w:sz="4" w:color="D6DEE7"/>
          <w:insideH w:val="single" w:sz="4" w:color="D6DEE7"/>
          <w:insideV w:val="single" w:sz="4" w:color="D6DEE7"/>
        </w:tblBorders>
        <w:tblInd w:type="dxa" w:w="120"/>
      </w:tblPr>
      <w:tblGrid>
        <w:gridCol w:w="2850"/>
        <w:gridCol w:w="6510"/>
      </w:tblGrid>
      <w:tr>
        <w:trPr>
          <w:tblHeader/>
          <w:cantSplit/>
        </w:trPr>
        <w:tc>
          <w:tcPr>
            <w:tcW w:type="dxa" w:w="2850"/>
            <w:shd w:fill="F2F4F7"/>
            <w:vAlign w:val="center"/>
            <w:tcMar>
              <w:top w:w="80" w:type="dxa"/>
              <w:bottom w:w="80" w:type="dxa"/>
              <w:start w:w="120" w:type="dxa"/>
              <w:end w:w="120" w:type="dxa"/>
            </w:tcMar>
          </w:tcPr>
          <w:p>
            <w:pPr>
              <w:pStyle w:val="TableText"/>
            </w:pPr>
            <w:r>
              <w:rPr>
                <w:b/>
              </w:rPr>
              <w:t>Yol</w:t>
            </w:r>
          </w:p>
        </w:tc>
        <w:tc>
          <w:tcPr>
            <w:tcW w:type="dxa" w:w="6510"/>
            <w:shd w:fill="F2F4F7"/>
            <w:vAlign w:val="center"/>
            <w:tcMar>
              <w:top w:w="80" w:type="dxa"/>
              <w:bottom w:w="80" w:type="dxa"/>
              <w:start w:w="120" w:type="dxa"/>
              <w:end w:w="120" w:type="dxa"/>
            </w:tcMar>
          </w:tcPr>
          <w:p>
            <w:pPr>
              <w:pStyle w:val="TableText"/>
            </w:pPr>
            <w:r>
              <w:rPr>
                <w:b/>
              </w:rPr>
              <w:t>Gözlenen sonuç</w:t>
            </w:r>
          </w:p>
        </w:tc>
      </w:tr>
      <w:tr>
        <w:trPr>
          <w:cantSplit/>
        </w:trPr>
        <w:tc>
          <w:tcPr>
            <w:tcW w:type="dxa" w:w="2850"/>
            <w:vAlign w:val="center"/>
            <w:tcMar>
              <w:top w:w="80" w:type="dxa"/>
              <w:bottom w:w="80" w:type="dxa"/>
              <w:start w:w="120" w:type="dxa"/>
              <w:end w:w="120" w:type="dxa"/>
            </w:tcMar>
          </w:tcPr>
          <w:p>
            <w:pPr>
              <w:pStyle w:val="TableText"/>
            </w:pPr>
            <w:r>
              <w:t>www.bddk.org.tr / www.bddk.gov.tr</w:t>
            </w:r>
          </w:p>
        </w:tc>
        <w:tc>
          <w:tcPr>
            <w:tcW w:type="dxa" w:w="6510"/>
            <w:vAlign w:val="center"/>
            <w:tcMar>
              <w:top w:w="80" w:type="dxa"/>
              <w:bottom w:w="80" w:type="dxa"/>
              <w:start w:w="120" w:type="dxa"/>
              <w:end w:w="120" w:type="dxa"/>
            </w:tcMar>
          </w:tcPr>
          <w:p>
            <w:pPr>
              <w:pStyle w:val="TableText"/>
            </w:pPr>
            <w:r>
              <w:t>502; upstream sertifika doğrulama hatası.</w:t>
            </w:r>
          </w:p>
        </w:tc>
      </w:tr>
      <w:tr>
        <w:trPr>
          <w:cantSplit/>
        </w:trPr>
        <w:tc>
          <w:tcPr>
            <w:tcW w:type="dxa" w:w="2850"/>
            <w:vAlign w:val="center"/>
            <w:tcMar>
              <w:top w:w="80" w:type="dxa"/>
              <w:bottom w:w="80" w:type="dxa"/>
              <w:start w:w="120" w:type="dxa"/>
              <w:end w:w="120" w:type="dxa"/>
            </w:tcMar>
          </w:tcPr>
          <w:p>
            <w:pPr>
              <w:pStyle w:val="TableText"/>
            </w:pPr>
            <w:r>
              <w:t>Aylık BasitRaporGetir POST</w:t>
            </w:r>
          </w:p>
        </w:tc>
        <w:tc>
          <w:tcPr>
            <w:tcW w:type="dxa" w:w="6510"/>
            <w:vAlign w:val="center"/>
            <w:tcMar>
              <w:top w:w="80" w:type="dxa"/>
              <w:bottom w:w="80" w:type="dxa"/>
              <w:start w:w="120" w:type="dxa"/>
              <w:end w:w="120" w:type="dxa"/>
            </w:tcMar>
          </w:tcPr>
          <w:p>
            <w:pPr>
              <w:pStyle w:val="TableText"/>
            </w:pPr>
            <w:r>
              <w:t>Aynı sertifika hatası; veri gövdesi alınmadı.</w:t>
            </w:r>
          </w:p>
        </w:tc>
      </w:tr>
      <w:tr>
        <w:trPr>
          <w:cantSplit/>
        </w:trPr>
        <w:tc>
          <w:tcPr>
            <w:tcW w:type="dxa" w:w="2850"/>
            <w:vAlign w:val="center"/>
            <w:tcMar>
              <w:top w:w="80" w:type="dxa"/>
              <w:bottom w:w="80" w:type="dxa"/>
              <w:start w:w="120" w:type="dxa"/>
              <w:end w:w="120" w:type="dxa"/>
            </w:tcMar>
          </w:tcPr>
          <w:p>
            <w:pPr>
              <w:pStyle w:val="TableText"/>
            </w:pPr>
            <w:r>
              <w:t>FinTürk metaveri ve İngilizce bülten</w:t>
            </w:r>
          </w:p>
        </w:tc>
        <w:tc>
          <w:tcPr>
            <w:tcW w:type="dxa" w:w="6510"/>
            <w:vAlign w:val="center"/>
            <w:tcMar>
              <w:top w:w="80" w:type="dxa"/>
              <w:bottom w:w="80" w:type="dxa"/>
              <w:start w:w="120" w:type="dxa"/>
              <w:end w:w="120" w:type="dxa"/>
            </w:tcMar>
          </w:tcPr>
          <w:p>
            <w:pPr>
              <w:pStyle w:val="TableText"/>
            </w:pPr>
            <w:r>
              <w:t>Aynı sertifika hatası.</w:t>
            </w:r>
          </w:p>
        </w:tc>
      </w:tr>
      <w:tr>
        <w:trPr>
          <w:cantSplit/>
        </w:trPr>
        <w:tc>
          <w:tcPr>
            <w:tcW w:type="dxa" w:w="2850"/>
            <w:vAlign w:val="center"/>
            <w:tcMar>
              <w:top w:w="80" w:type="dxa"/>
              <w:bottom w:w="80" w:type="dxa"/>
              <w:start w:w="120" w:type="dxa"/>
              <w:end w:w="120" w:type="dxa"/>
            </w:tcMar>
          </w:tcPr>
          <w:p>
            <w:pPr>
              <w:pStyle w:val="TableText"/>
            </w:pPr>
            <w:r>
              <w:t>bddk.gov.tr, www olmadan</w:t>
            </w:r>
          </w:p>
        </w:tc>
        <w:tc>
          <w:tcPr>
            <w:tcW w:type="dxa" w:w="6510"/>
            <w:vAlign w:val="center"/>
            <w:tcMar>
              <w:top w:w="80" w:type="dxa"/>
              <w:bottom w:w="80" w:type="dxa"/>
              <w:start w:w="120" w:type="dxa"/>
              <w:end w:w="120" w:type="dxa"/>
            </w:tcMar>
          </w:tcPr>
          <w:p>
            <w:pPr>
              <w:pStyle w:val="TableText"/>
            </w:pPr>
            <w:r>
              <w:t>502; bağlantı reddedildi.</w:t>
            </w:r>
          </w:p>
        </w:tc>
      </w:tr>
      <w:tr>
        <w:trPr>
          <w:cantSplit/>
        </w:trPr>
        <w:tc>
          <w:tcPr>
            <w:tcW w:type="dxa" w:w="2850"/>
            <w:vAlign w:val="center"/>
            <w:tcMar>
              <w:top w:w="80" w:type="dxa"/>
              <w:bottom w:w="80" w:type="dxa"/>
              <w:start w:w="120" w:type="dxa"/>
              <w:end w:w="120" w:type="dxa"/>
            </w:tcMar>
          </w:tcPr>
          <w:p>
            <w:pPr>
              <w:pStyle w:val="TableText"/>
            </w:pPr>
            <w:r>
              <w:t>Eski ebulten aylık adresi</w:t>
            </w:r>
          </w:p>
        </w:tc>
        <w:tc>
          <w:tcPr>
            <w:tcW w:type="dxa" w:w="6510"/>
            <w:vAlign w:val="center"/>
            <w:tcMar>
              <w:top w:w="80" w:type="dxa"/>
              <w:bottom w:w="80" w:type="dxa"/>
              <w:start w:w="120" w:type="dxa"/>
              <w:end w:w="120" w:type="dxa"/>
            </w:tcMar>
          </w:tcPr>
          <w:p>
            <w:pPr>
              <w:pStyle w:val="TableText"/>
            </w:pPr>
            <w:r>
              <w:t>502; sunucu bağlantıyı kapattı.</w:t>
            </w:r>
          </w:p>
        </w:tc>
      </w:tr>
      <w:tr>
        <w:trPr>
          <w:cantSplit/>
        </w:trPr>
        <w:tc>
          <w:tcPr>
            <w:tcW w:type="dxa" w:w="2850"/>
            <w:vAlign w:val="center"/>
            <w:tcMar>
              <w:top w:w="80" w:type="dxa"/>
              <w:bottom w:w="80" w:type="dxa"/>
              <w:start w:w="120" w:type="dxa"/>
              <w:end w:w="120" w:type="dxa"/>
            </w:tcMar>
          </w:tcPr>
          <w:p>
            <w:pPr>
              <w:pStyle w:val="TableText"/>
            </w:pPr>
            <w:r>
              <w:t>Önceki tarayıcı denemesi</w:t>
            </w:r>
          </w:p>
        </w:tc>
        <w:tc>
          <w:tcPr>
            <w:tcW w:type="dxa" w:w="6510"/>
            <w:vAlign w:val="center"/>
            <w:tcMar>
              <w:top w:w="80" w:type="dxa"/>
              <w:bottom w:w="80" w:type="dxa"/>
              <w:start w:w="120" w:type="dxa"/>
              <w:end w:w="120" w:type="dxa"/>
            </w:tcMar>
          </w:tcPr>
          <w:p>
            <w:pPr>
              <w:pStyle w:val="TableText"/>
            </w:pPr>
            <w:r>
              <w:t>Kullanılabilir sayfa/DOM sonucu alınamadı.</w:t>
            </w:r>
          </w:p>
        </w:tc>
      </w:tr>
    </w:tbl>
    <w:p>
      <w:pPr>
        <w:pStyle w:val="TableCitation"/>
      </w:pPr>
      <w:r/>
    </w:p>
    <w:p>
      <w:r/>
      <w:r>
        <w:rPr>
          <w:b/>
        </w:rPr>
        <w:t>Somut sonraki adım:</w:t>
      </w:r>
      <w:r>
        <w:t xml:space="preserve"> İndiriciyi bilgisayarındaki normal bağlantıda çalıştır. Bu oturumda bilgisayarına uzaktan bağlanma yeteneği bulunmuyor; böyle bir bağlantı kurulmuş gibi işlem yapılmadı.</w:t>
      </w:r>
    </w:p>
    <w:p>
      <w:pPr>
        <w:pStyle w:val="Code"/>
      </w:pPr>
      <w:r>
        <w:t>python3 BDDK_Indirme_Araci.py</w:t>
      </w:r>
    </w:p>
    <w:p>
      <w:r>
        <w:t xml:space="preserve">Windows Python başlatıcısı için: </w:t>
      </w:r>
      <w:r>
        <w:rPr>
          <w:rFonts w:ascii="Consolas" w:hAnsi="Consolas"/>
          <w:sz w:val="18"/>
        </w:rPr>
        <w:t>py -3 BDDK_Indirme_Araci.py</w:t>
      </w:r>
      <w:r>
        <w:t xml:space="preserve">. Varsayılan seçim 66 ay, sektör grubu 10001, tüketici kredileri tablosu 4. </w:t>
      </w:r>
      <w:r>
        <w:rPr>
          <w:rFonts w:ascii="Consolas" w:hAnsi="Consolas"/>
          <w:sz w:val="18"/>
        </w:rPr>
        <w:t>BDDK_Verileri_Paylas.zip</w:t>
      </w:r>
      <w:r>
        <w:t>, başarılı tabloları veya ilk hatanın kanıtını içerir. Araç dosyaları otomatik göndermez; oluşan ZIP görüşmeye yüklenmelidir.</w:t>
      </w:r>
    </w:p>
    <w:p>
      <w:r>
        <w:t xml:space="preserve">İstemcinin tablo sözleşmesi </w:t>
      </w:r>
      <w:hyperlink r:id="rId11">
        <w:r>
          <w:rPr>
            <w:color w:val="2E74B5"/>
          </w:rPr>
          <w:t>rbrsa indirme kodu</w:t>
        </w:r>
      </w:hyperlink>
      <w:r>
        <w:t xml:space="preserve"> ve </w:t>
      </w:r>
      <w:hyperlink r:id="rId12">
        <w:r>
          <w:rPr>
            <w:color w:val="2E74B5"/>
          </w:rPr>
          <w:t>yanıt ayrıştırıcısı</w:t>
        </w:r>
      </w:hyperlink>
      <w:r>
        <w:t xml:space="preserve"> üzerinden kontrol edildi. Bunlar Ozan Bakis'in birincil istemci kodudur; BDDK'nın değişmez API garantisi değildir. TLS doğrulaması açık tutulur; HTTP 200 tek başına başarı sayılmaz. Dönem/grup etiketleri istek seçimidir; birim ve kapsam gerçek export metaverisiyle ayrıca doğrulanmalıdır.</w:t>
      </w:r>
    </w:p>
    <w:p>
      <w:r>
        <w:br w:type="page"/>
      </w:r>
    </w:p>
    <w:p>
      <w:pPr>
        <w:pStyle w:val="Heading1"/>
      </w:pPr>
      <w:r>
        <w:t>Neleri çektik, ne kadarını doğruladık?</w:t>
      </w:r>
    </w:p>
    <w:p>
      <w:r>
        <w:t>Ana pakette 24 aylık seri ve bir haftalık faiz serisi var. Hedef tablo 66 ay; yıllık değişimler için 2020 hazırlık verisi de tutuluyor. Hazırlık dahil özgün frekansta 2.211 gözlem, hedef dönemde 287 cuma faiz gözlemi bulunuyor. Ana tabloda ay anahtarı yanında 65 veri, türetilmiş ölçü ve kalite alanı var.</w:t>
      </w:r>
    </w:p>
    <w:tbl>
      <w:tblPr>
        <w:tblW w:type="dxa" w:w="9360"/>
        <w:tblLayout w:type="fixed"/>
        <w:tblLook w:firstColumn="1" w:firstRow="1" w:lastColumn="0" w:lastRow="0" w:noHBand="0" w:noVBand="1" w:val="04A0"/>
        <w:jc w:val="left"/>
        <w:tblBorders>
          <w:top w:val="single" w:sz="4" w:color="D6DEE7"/>
          <w:left w:val="single" w:sz="4" w:color="D6DEE7"/>
          <w:bottom w:val="single" w:sz="4" w:color="D6DEE7"/>
          <w:right w:val="single" w:sz="4" w:color="D6DEE7"/>
          <w:insideH w:val="single" w:sz="4" w:color="D6DEE7"/>
          <w:insideV w:val="single" w:sz="4" w:color="D6DEE7"/>
        </w:tblBorders>
        <w:tblInd w:type="dxa" w:w="120"/>
      </w:tblPr>
      <w:tblGrid>
        <w:gridCol w:w="4200"/>
        <w:gridCol w:w="1200"/>
        <w:gridCol w:w="3960"/>
      </w:tblGrid>
      <w:tr>
        <w:trPr>
          <w:tblHeader/>
          <w:cantSplit/>
        </w:trPr>
        <w:tc>
          <w:tcPr>
            <w:tcW w:type="dxa" w:w="4200"/>
            <w:shd w:fill="F2F4F7"/>
            <w:vAlign w:val="center"/>
            <w:tcMar>
              <w:top w:w="80" w:type="dxa"/>
              <w:bottom w:w="80" w:type="dxa"/>
              <w:start w:w="120" w:type="dxa"/>
              <w:end w:w="120" w:type="dxa"/>
            </w:tcMar>
          </w:tcPr>
          <w:p>
            <w:pPr>
              <w:pStyle w:val="TableText"/>
            </w:pPr>
            <w:r>
              <w:rPr>
                <w:b/>
              </w:rPr>
              <w:t>Veri ailesi</w:t>
            </w:r>
          </w:p>
        </w:tc>
        <w:tc>
          <w:tcPr>
            <w:tcW w:type="dxa" w:w="1200"/>
            <w:shd w:fill="F2F4F7"/>
            <w:vAlign w:val="center"/>
            <w:tcMar>
              <w:top w:w="80" w:type="dxa"/>
              <w:bottom w:w="80" w:type="dxa"/>
              <w:start w:w="120" w:type="dxa"/>
              <w:end w:w="120" w:type="dxa"/>
            </w:tcMar>
          </w:tcPr>
          <w:p>
            <w:pPr>
              <w:pStyle w:val="TableText"/>
            </w:pPr>
            <w:r>
              <w:rPr>
                <w:b/>
              </w:rPr>
              <w:t>Seri</w:t>
            </w:r>
          </w:p>
        </w:tc>
        <w:tc>
          <w:tcPr>
            <w:tcW w:type="dxa" w:w="3960"/>
            <w:shd w:fill="F2F4F7"/>
            <w:vAlign w:val="center"/>
            <w:tcMar>
              <w:top w:w="80" w:type="dxa"/>
              <w:bottom w:w="80" w:type="dxa"/>
              <w:start w:w="120" w:type="dxa"/>
              <w:end w:w="120" w:type="dxa"/>
            </w:tcMar>
          </w:tcPr>
          <w:p>
            <w:pPr>
              <w:pStyle w:val="TableText"/>
            </w:pPr>
            <w:r>
              <w:rPr>
                <w:b/>
              </w:rPr>
              <w:t>Anlam</w:t>
            </w:r>
          </w:p>
        </w:tc>
      </w:tr>
      <w:tr>
        <w:trPr>
          <w:cantSplit/>
        </w:trPr>
        <w:tc>
          <w:tcPr>
            <w:tcW w:type="dxa" w:w="4200"/>
            <w:vAlign w:val="center"/>
            <w:tcMar>
              <w:top w:w="80" w:type="dxa"/>
              <w:bottom w:w="80" w:type="dxa"/>
              <w:start w:w="120" w:type="dxa"/>
              <w:end w:w="120" w:type="dxa"/>
            </w:tcMar>
          </w:tcPr>
          <w:p>
            <w:pPr>
              <w:pStyle w:val="TableText"/>
            </w:pPr>
            <w:r>
              <w:t>Türkiye ve üç büyük il KFE</w:t>
            </w:r>
          </w:p>
        </w:tc>
        <w:tc>
          <w:tcPr>
            <w:tcW w:type="dxa" w:w="1200"/>
            <w:vAlign w:val="center"/>
            <w:tcMar>
              <w:top w:w="80" w:type="dxa"/>
              <w:bottom w:w="80" w:type="dxa"/>
              <w:start w:w="120" w:type="dxa"/>
              <w:end w:w="120" w:type="dxa"/>
            </w:tcMar>
          </w:tcPr>
          <w:p>
            <w:pPr>
              <w:pStyle w:val="TableText"/>
            </w:pPr>
            <w:r>
              <w:t>4</w:t>
            </w:r>
          </w:p>
        </w:tc>
        <w:tc>
          <w:tcPr>
            <w:tcW w:type="dxa" w:w="3960"/>
            <w:vAlign w:val="center"/>
            <w:tcMar>
              <w:top w:w="80" w:type="dxa"/>
              <w:bottom w:w="80" w:type="dxa"/>
              <w:start w:w="120" w:type="dxa"/>
              <w:end w:w="120" w:type="dxa"/>
            </w:tcMar>
          </w:tcPr>
          <w:p>
            <w:pPr>
              <w:pStyle w:val="TableText"/>
            </w:pPr>
            <w:r>
              <w:t>Aylık fiyat endeksi, 2023 temeli.</w:t>
            </w:r>
          </w:p>
        </w:tc>
      </w:tr>
      <w:tr>
        <w:trPr>
          <w:cantSplit/>
        </w:trPr>
        <w:tc>
          <w:tcPr>
            <w:tcW w:type="dxa" w:w="4200"/>
            <w:vAlign w:val="center"/>
            <w:tcMar>
              <w:top w:w="80" w:type="dxa"/>
              <w:bottom w:w="80" w:type="dxa"/>
              <w:start w:w="120" w:type="dxa"/>
              <w:end w:w="120" w:type="dxa"/>
            </w:tcMar>
          </w:tcPr>
          <w:p>
            <w:pPr>
              <w:pStyle w:val="TableText"/>
            </w:pPr>
            <w:r>
              <w:t>TÜFE genel endeks</w:t>
            </w:r>
          </w:p>
        </w:tc>
        <w:tc>
          <w:tcPr>
            <w:tcW w:type="dxa" w:w="1200"/>
            <w:vAlign w:val="center"/>
            <w:tcMar>
              <w:top w:w="80" w:type="dxa"/>
              <w:bottom w:w="80" w:type="dxa"/>
              <w:start w:w="120" w:type="dxa"/>
              <w:end w:w="120" w:type="dxa"/>
            </w:tcMar>
          </w:tcPr>
          <w:p>
            <w:pPr>
              <w:pStyle w:val="TableText"/>
            </w:pPr>
            <w:r>
              <w:t>1</w:t>
            </w:r>
          </w:p>
        </w:tc>
        <w:tc>
          <w:tcPr>
            <w:tcW w:type="dxa" w:w="3960"/>
            <w:vAlign w:val="center"/>
            <w:tcMar>
              <w:top w:w="80" w:type="dxa"/>
              <w:bottom w:w="80" w:type="dxa"/>
              <w:start w:w="120" w:type="dxa"/>
              <w:end w:w="120" w:type="dxa"/>
            </w:tcMar>
          </w:tcPr>
          <w:p>
            <w:pPr>
              <w:pStyle w:val="TableText"/>
            </w:pPr>
            <w:r>
              <w:t>Aylık endeks, 2025 temeli.</w:t>
            </w:r>
          </w:p>
        </w:tc>
      </w:tr>
      <w:tr>
        <w:trPr>
          <w:cantSplit/>
        </w:trPr>
        <w:tc>
          <w:tcPr>
            <w:tcW w:type="dxa" w:w="4200"/>
            <w:vAlign w:val="center"/>
            <w:tcMar>
              <w:top w:w="80" w:type="dxa"/>
              <w:bottom w:w="80" w:type="dxa"/>
              <w:start w:w="120" w:type="dxa"/>
              <w:end w:w="120" w:type="dxa"/>
            </w:tcMar>
          </w:tcPr>
          <w:p>
            <w:pPr>
              <w:pStyle w:val="TableText"/>
            </w:pPr>
            <w:r>
              <w:t>Konut kredi faizi</w:t>
            </w:r>
          </w:p>
        </w:tc>
        <w:tc>
          <w:tcPr>
            <w:tcW w:type="dxa" w:w="1200"/>
            <w:vAlign w:val="center"/>
            <w:tcMar>
              <w:top w:w="80" w:type="dxa"/>
              <w:bottom w:w="80" w:type="dxa"/>
              <w:start w:w="120" w:type="dxa"/>
              <w:end w:w="120" w:type="dxa"/>
            </w:tcMar>
          </w:tcPr>
          <w:p>
            <w:pPr>
              <w:pStyle w:val="TableText"/>
            </w:pPr>
            <w:r>
              <w:t>1</w:t>
            </w:r>
          </w:p>
        </w:tc>
        <w:tc>
          <w:tcPr>
            <w:tcW w:type="dxa" w:w="3960"/>
            <w:vAlign w:val="center"/>
            <w:tcMar>
              <w:top w:w="80" w:type="dxa"/>
              <w:bottom w:w="80" w:type="dxa"/>
              <w:start w:w="120" w:type="dxa"/>
              <w:end w:w="120" w:type="dxa"/>
            </w:tcMar>
          </w:tcPr>
          <w:p>
            <w:pPr>
              <w:pStyle w:val="TableText"/>
            </w:pPr>
            <w:r>
              <w:t>Haftalık yayımlanan yıllık efektif TL oranı.</w:t>
            </w:r>
          </w:p>
        </w:tc>
      </w:tr>
      <w:tr>
        <w:trPr>
          <w:cantSplit/>
        </w:trPr>
        <w:tc>
          <w:tcPr>
            <w:tcW w:type="dxa" w:w="4200"/>
            <w:vAlign w:val="center"/>
            <w:tcMar>
              <w:top w:w="80" w:type="dxa"/>
              <w:bottom w:w="80" w:type="dxa"/>
              <w:start w:w="120" w:type="dxa"/>
              <w:end w:w="120" w:type="dxa"/>
            </w:tcMar>
          </w:tcPr>
          <w:p>
            <w:pPr>
              <w:pStyle w:val="TableText"/>
            </w:pPr>
            <w:r>
              <w:t>Konut satışları</w:t>
            </w:r>
          </w:p>
        </w:tc>
        <w:tc>
          <w:tcPr>
            <w:tcW w:type="dxa" w:w="1200"/>
            <w:vAlign w:val="center"/>
            <w:tcMar>
              <w:top w:w="80" w:type="dxa"/>
              <w:bottom w:w="80" w:type="dxa"/>
              <w:start w:w="120" w:type="dxa"/>
              <w:end w:w="120" w:type="dxa"/>
            </w:tcMar>
          </w:tcPr>
          <w:p>
            <w:pPr>
              <w:pStyle w:val="TableText"/>
            </w:pPr>
            <w:r>
              <w:t>4</w:t>
            </w:r>
          </w:p>
        </w:tc>
        <w:tc>
          <w:tcPr>
            <w:tcW w:type="dxa" w:w="3960"/>
            <w:vAlign w:val="center"/>
            <w:tcMar>
              <w:top w:w="80" w:type="dxa"/>
              <w:bottom w:w="80" w:type="dxa"/>
              <w:start w:w="120" w:type="dxa"/>
              <w:end w:w="120" w:type="dxa"/>
            </w:tcMar>
          </w:tcPr>
          <w:p>
            <w:pPr>
              <w:pStyle w:val="TableText"/>
            </w:pPr>
            <w:r>
              <w:t>Toplam, ipotekli, ilk el, ikinci el adetleri.</w:t>
            </w:r>
          </w:p>
        </w:tc>
      </w:tr>
      <w:tr>
        <w:trPr>
          <w:cantSplit/>
        </w:trPr>
        <w:tc>
          <w:tcPr>
            <w:tcW w:type="dxa" w:w="4200"/>
            <w:vAlign w:val="center"/>
            <w:tcMar>
              <w:top w:w="80" w:type="dxa"/>
              <w:bottom w:w="80" w:type="dxa"/>
              <w:start w:w="120" w:type="dxa"/>
              <w:end w:w="120" w:type="dxa"/>
            </w:tcMar>
          </w:tcPr>
          <w:p>
            <w:pPr>
              <w:pStyle w:val="TableText"/>
            </w:pPr>
            <w:r>
              <w:t>Üç banka grubunda kredi/kart</w:t>
            </w:r>
          </w:p>
        </w:tc>
        <w:tc>
          <w:tcPr>
            <w:tcW w:type="dxa" w:w="1200"/>
            <w:vAlign w:val="center"/>
            <w:tcMar>
              <w:top w:w="80" w:type="dxa"/>
              <w:bottom w:w="80" w:type="dxa"/>
              <w:start w:w="120" w:type="dxa"/>
              <w:end w:w="120" w:type="dxa"/>
            </w:tcMar>
          </w:tcPr>
          <w:p>
            <w:pPr>
              <w:pStyle w:val="TableText"/>
            </w:pPr>
            <w:r>
              <w:t>15</w:t>
            </w:r>
          </w:p>
        </w:tc>
        <w:tc>
          <w:tcPr>
            <w:tcW w:type="dxa" w:w="3960"/>
            <w:vAlign w:val="center"/>
            <w:tcMar>
              <w:top w:w="80" w:type="dxa"/>
              <w:bottom w:w="80" w:type="dxa"/>
              <w:start w:w="120" w:type="dxa"/>
              <w:end w:w="120" w:type="dxa"/>
            </w:tcMar>
          </w:tcPr>
          <w:p>
            <w:pPr>
              <w:pStyle w:val="TableText"/>
            </w:pPr>
            <w:r>
              <w:t>Konut, tüketici, taşıt, ihtiyaç/diğer ve kart bakiyeleri.</w:t>
            </w:r>
          </w:p>
        </w:tc>
      </w:tr>
    </w:tbl>
    <w:p>
      <w:pPr>
        <w:pStyle w:val="TableCitation"/>
      </w:pPr>
      <w:r/>
    </w:p>
    <w:p>
      <w:r/>
      <w:r>
        <w:rPr>
          <w:b/>
        </w:rPr>
        <w:t>Tam EVDS çekimi yapılmadı.</w:t>
      </w:r>
      <w:r>
        <w:t xml:space="preserve"> Kategori ağacındaki 676 veri grubu envantere alındı; bu sayı seri sayısı değildir. Seri metadatası 66 grupta 3.892 benzersiz koda kadar tarandı; kalan 610 grup tamamlanmadı. Sayısal gözlem kapsamı yukarıdaki 25 seriyle sınırlı. </w:t>
      </w:r>
      <w:hyperlink r:id="rId13">
        <w:r>
          <w:rPr>
            <w:color w:val="2E74B5"/>
          </w:rPr>
          <w:t>EVDS seri kataloğu</w:t>
        </w:r>
      </w:hyperlink>
      <w:r>
        <w:t>, erişim 7 Eylül 2026; indirilen katalog pakettedir.</w:t>
      </w:r>
    </w:p>
    <w:tbl>
      <w:tblPr>
        <w:tblW w:type="dxa" w:w="9360"/>
        <w:tblLayout w:type="fixed"/>
        <w:tblLook w:firstColumn="1" w:firstRow="1" w:lastColumn="0" w:lastRow="0" w:noHBand="0" w:noVBand="1" w:val="04A0"/>
        <w:jc w:val="left"/>
        <w:tblBorders>
          <w:top w:val="single" w:sz="4" w:color="D6DEE7"/>
          <w:left w:val="single" w:sz="4" w:color="D6DEE7"/>
          <w:bottom w:val="single" w:sz="4" w:color="D6DEE7"/>
          <w:right w:val="single" w:sz="4" w:color="D6DEE7"/>
          <w:insideH w:val="single" w:sz="4" w:color="D6DEE7"/>
          <w:insideV w:val="single" w:sz="4" w:color="D6DEE7"/>
        </w:tblBorders>
        <w:tblInd w:type="dxa" w:w="120"/>
      </w:tblPr>
      <w:tblGrid>
        <w:gridCol w:w="2850"/>
        <w:gridCol w:w="6510"/>
      </w:tblGrid>
      <w:tr>
        <w:trPr>
          <w:tblHeader/>
          <w:cantSplit/>
        </w:trPr>
        <w:tc>
          <w:tcPr>
            <w:tcW w:type="dxa" w:w="2850"/>
            <w:shd w:fill="F2F4F7"/>
            <w:vAlign w:val="center"/>
            <w:tcMar>
              <w:top w:w="80" w:type="dxa"/>
              <w:bottom w:w="80" w:type="dxa"/>
              <w:start w:w="120" w:type="dxa"/>
              <w:end w:w="120" w:type="dxa"/>
            </w:tcMar>
          </w:tcPr>
          <w:p>
            <w:pPr>
              <w:pStyle w:val="TableText"/>
            </w:pPr>
            <w:r>
              <w:rPr>
                <w:b/>
              </w:rPr>
              <w:t>Denetim</w:t>
            </w:r>
          </w:p>
        </w:tc>
        <w:tc>
          <w:tcPr>
            <w:tcW w:type="dxa" w:w="6510"/>
            <w:shd w:fill="F2F4F7"/>
            <w:vAlign w:val="center"/>
            <w:tcMar>
              <w:top w:w="80" w:type="dxa"/>
              <w:bottom w:w="80" w:type="dxa"/>
              <w:start w:w="120" w:type="dxa"/>
              <w:end w:w="120" w:type="dxa"/>
            </w:tcMar>
          </w:tcPr>
          <w:p>
            <w:pPr>
              <w:pStyle w:val="TableText"/>
            </w:pPr>
            <w:r>
              <w:rPr>
                <w:b/>
              </w:rPr>
              <w:t>Gerçek sonuç</w:t>
            </w:r>
          </w:p>
        </w:tc>
      </w:tr>
      <w:tr>
        <w:trPr>
          <w:cantSplit/>
        </w:trPr>
        <w:tc>
          <w:tcPr>
            <w:tcW w:type="dxa" w:w="2850"/>
            <w:vAlign w:val="center"/>
            <w:tcMar>
              <w:top w:w="80" w:type="dxa"/>
              <w:bottom w:w="80" w:type="dxa"/>
              <w:start w:w="120" w:type="dxa"/>
              <w:end w:w="120" w:type="dxa"/>
            </w:tcMar>
          </w:tcPr>
          <w:p>
            <w:pPr>
              <w:pStyle w:val="TableText"/>
            </w:pPr>
            <w:r>
              <w:t>Ham kaynak → aylık çıktı</w:t>
            </w:r>
          </w:p>
        </w:tc>
        <w:tc>
          <w:tcPr>
            <w:tcW w:type="dxa" w:w="6510"/>
            <w:vAlign w:val="center"/>
            <w:tcMar>
              <w:top w:w="80" w:type="dxa"/>
              <w:bottom w:w="80" w:type="dxa"/>
              <w:start w:w="120" w:type="dxa"/>
              <w:end w:w="120" w:type="dxa"/>
            </w:tcMar>
          </w:tcPr>
          <w:p>
            <w:pPr>
              <w:pStyle w:val="TableText"/>
            </w:pPr>
            <w:r>
              <w:t>1.584 hücre tekrar hesaplandı; fark yok.</w:t>
            </w:r>
          </w:p>
        </w:tc>
      </w:tr>
      <w:tr>
        <w:trPr>
          <w:cantSplit/>
        </w:trPr>
        <w:tc>
          <w:tcPr>
            <w:tcW w:type="dxa" w:w="2850"/>
            <w:vAlign w:val="center"/>
            <w:tcMar>
              <w:top w:w="80" w:type="dxa"/>
              <w:bottom w:w="80" w:type="dxa"/>
              <w:start w:w="120" w:type="dxa"/>
              <w:end w:w="120" w:type="dxa"/>
            </w:tcMar>
          </w:tcPr>
          <w:p>
            <w:pPr>
              <w:pStyle w:val="TableText"/>
            </w:pPr>
            <w:r>
              <w:t>Haftalık → aylık faiz</w:t>
            </w:r>
          </w:p>
        </w:tc>
        <w:tc>
          <w:tcPr>
            <w:tcW w:type="dxa" w:w="6510"/>
            <w:vAlign w:val="center"/>
            <w:tcMar>
              <w:top w:w="80" w:type="dxa"/>
              <w:bottom w:w="80" w:type="dxa"/>
              <w:start w:w="120" w:type="dxa"/>
              <w:end w:w="120" w:type="dxa"/>
            </w:tcMar>
          </w:tcPr>
          <w:p>
            <w:pPr>
              <w:pStyle w:val="TableText"/>
            </w:pPr>
            <w:r>
              <w:t>66 ortalama ve takvim eşleşti.</w:t>
            </w:r>
          </w:p>
        </w:tc>
      </w:tr>
      <w:tr>
        <w:trPr>
          <w:cantSplit/>
        </w:trPr>
        <w:tc>
          <w:tcPr>
            <w:tcW w:type="dxa" w:w="2850"/>
            <w:vAlign w:val="center"/>
            <w:tcMar>
              <w:top w:w="80" w:type="dxa"/>
              <w:bottom w:w="80" w:type="dxa"/>
              <w:start w:w="120" w:type="dxa"/>
              <w:end w:w="120" w:type="dxa"/>
            </w:tcMar>
          </w:tcPr>
          <w:p>
            <w:pPr>
              <w:pStyle w:val="TableText"/>
            </w:pPr>
            <w:r>
              <w:t>TÜFE ayrı yayın</w:t>
            </w:r>
          </w:p>
        </w:tc>
        <w:tc>
          <w:tcPr>
            <w:tcW w:type="dxa" w:w="6510"/>
            <w:vAlign w:val="center"/>
            <w:tcMar>
              <w:top w:w="80" w:type="dxa"/>
              <w:bottom w:w="80" w:type="dxa"/>
              <w:start w:w="120" w:type="dxa"/>
              <w:end w:w="120" w:type="dxa"/>
            </w:tcMar>
          </w:tcPr>
          <w:p>
            <w:pPr>
              <w:pStyle w:val="TableText"/>
            </w:pPr>
            <w:r>
              <w:t>132 aylık/yıllık değişim karşılaştırması eşleşti.</w:t>
            </w:r>
          </w:p>
        </w:tc>
      </w:tr>
      <w:tr>
        <w:trPr>
          <w:cantSplit/>
        </w:trPr>
        <w:tc>
          <w:tcPr>
            <w:tcW w:type="dxa" w:w="2850"/>
            <w:vAlign w:val="center"/>
            <w:tcMar>
              <w:top w:w="80" w:type="dxa"/>
              <w:bottom w:w="80" w:type="dxa"/>
              <w:start w:w="120" w:type="dxa"/>
              <w:end w:w="120" w:type="dxa"/>
            </w:tcMar>
          </w:tcPr>
          <w:p>
            <w:pPr>
              <w:pStyle w:val="TableText"/>
            </w:pPr>
            <w:r>
              <w:t>KFE ayrı yayın</w:t>
            </w:r>
          </w:p>
        </w:tc>
        <w:tc>
          <w:tcPr>
            <w:tcW w:type="dxa" w:w="6510"/>
            <w:vAlign w:val="center"/>
            <w:tcMar>
              <w:top w:w="80" w:type="dxa"/>
              <w:bottom w:w="80" w:type="dxa"/>
              <w:start w:w="120" w:type="dxa"/>
              <w:end w:w="120" w:type="dxa"/>
            </w:tcMar>
          </w:tcPr>
          <w:p>
            <w:pPr>
              <w:pStyle w:val="TableText"/>
            </w:pPr>
            <w:r>
              <w:t>42 seviye + 42 yıllık değişim, yayın yuvarlaması içinde eşleşti.</w:t>
            </w:r>
          </w:p>
        </w:tc>
      </w:tr>
      <w:tr>
        <w:trPr>
          <w:cantSplit/>
        </w:trPr>
        <w:tc>
          <w:tcPr>
            <w:tcW w:type="dxa" w:w="2850"/>
            <w:vAlign w:val="center"/>
            <w:tcMar>
              <w:top w:w="80" w:type="dxa"/>
              <w:bottom w:w="80" w:type="dxa"/>
              <w:start w:w="120" w:type="dxa"/>
              <w:end w:w="120" w:type="dxa"/>
            </w:tcMar>
          </w:tcPr>
          <w:p>
            <w:pPr>
              <w:pStyle w:val="TableText"/>
            </w:pPr>
            <w:r>
              <w:t>Konut satışları ayrı yayın</w:t>
            </w:r>
          </w:p>
        </w:tc>
        <w:tc>
          <w:tcPr>
            <w:tcW w:type="dxa" w:w="6510"/>
            <w:vAlign w:val="center"/>
            <w:tcMar>
              <w:top w:w="80" w:type="dxa"/>
              <w:bottom w:w="80" w:type="dxa"/>
              <w:start w:w="120" w:type="dxa"/>
              <w:end w:w="120" w:type="dxa"/>
            </w:tcMar>
          </w:tcPr>
          <w:p>
            <w:pPr>
              <w:pStyle w:val="TableText"/>
            </w:pPr>
            <w:r>
              <w:t>16 özgün + 4 türetilmiş dönem sayısı eşleşti.</w:t>
            </w:r>
          </w:p>
        </w:tc>
      </w:tr>
      <w:tr>
        <w:trPr>
          <w:cantSplit/>
        </w:trPr>
        <w:tc>
          <w:tcPr>
            <w:tcW w:type="dxa" w:w="2850"/>
            <w:vAlign w:val="center"/>
            <w:tcMar>
              <w:top w:w="80" w:type="dxa"/>
              <w:bottom w:w="80" w:type="dxa"/>
              <w:start w:w="120" w:type="dxa"/>
              <w:end w:w="120" w:type="dxa"/>
            </w:tcMar>
          </w:tcPr>
          <w:p>
            <w:pPr>
              <w:pStyle w:val="TableText"/>
            </w:pPr>
            <w:r>
              <w:t>Faiz ayrı yayın</w:t>
            </w:r>
          </w:p>
        </w:tc>
        <w:tc>
          <w:tcPr>
            <w:tcW w:type="dxa" w:w="6510"/>
            <w:vAlign w:val="center"/>
            <w:tcMar>
              <w:top w:w="80" w:type="dxa"/>
              <w:bottom w:w="80" w:type="dxa"/>
              <w:start w:w="120" w:type="dxa"/>
              <w:end w:w="120" w:type="dxa"/>
            </w:tcMar>
          </w:tcPr>
          <w:p>
            <w:pPr>
              <w:pStyle w:val="TableText"/>
            </w:pPr>
            <w:r>
              <w:t>2 seviye + 2 baz puan değişimi eşleşti.</w:t>
            </w:r>
          </w:p>
        </w:tc>
      </w:tr>
      <w:tr>
        <w:trPr>
          <w:cantSplit/>
        </w:trPr>
        <w:tc>
          <w:tcPr>
            <w:tcW w:type="dxa" w:w="2850"/>
            <w:vAlign w:val="center"/>
            <w:tcMar>
              <w:top w:w="80" w:type="dxa"/>
              <w:bottom w:w="80" w:type="dxa"/>
              <w:start w:w="120" w:type="dxa"/>
              <w:end w:w="120" w:type="dxa"/>
            </w:tcMar>
          </w:tcPr>
          <w:p>
            <w:pPr>
              <w:pStyle w:val="TableText"/>
            </w:pPr>
            <w:r>
              <w:t>Yeni veri regresyon kontrolleri</w:t>
            </w:r>
          </w:p>
        </w:tc>
        <w:tc>
          <w:tcPr>
            <w:tcW w:type="dxa" w:w="6510"/>
            <w:vAlign w:val="center"/>
            <w:tcMar>
              <w:top w:w="80" w:type="dxa"/>
              <w:bottom w:w="80" w:type="dxa"/>
              <w:start w:w="120" w:type="dxa"/>
              <w:end w:w="120" w:type="dxa"/>
            </w:tcMar>
          </w:tcPr>
          <w:p>
            <w:pPr>
              <w:pStyle w:val="TableText"/>
            </w:pPr>
            <w:r>
              <w:t>15/15 geçti; LLM başarısı ölçülmedi.</w:t>
            </w:r>
          </w:p>
        </w:tc>
      </w:tr>
    </w:tbl>
    <w:p>
      <w:pPr>
        <w:pStyle w:val="TableCitation"/>
      </w:pPr>
      <w:r/>
    </w:p>
    <w:p>
      <w:pPr>
        <w:pStyle w:val="Source"/>
      </w:pPr>
      <w:r>
        <w:t xml:space="preserve">KFE ikinci yayını HMB, satışların ayrı yayını TÜİK bülteni, faiz spot kontrolleri TCMB PPK özetleridir. Aynı istatistiğin yeniden yayımlanması bağımsız ölçüm değildir. Kaynaklar: </w:t>
      </w:r>
      <w:hyperlink r:id="rId14">
        <w:r>
          <w:rPr>
            <w:color w:val="2E74B5"/>
          </w:rPr>
          <w:t>HMB Ekonomik Göstergeler, 3 Eylül 2026</w:t>
        </w:r>
      </w:hyperlink>
      <w:r>
        <w:t xml:space="preserve">, </w:t>
      </w:r>
      <w:hyperlink r:id="rId15">
        <w:r>
          <w:rPr>
            <w:color w:val="2E74B5"/>
          </w:rPr>
          <w:t>TÜİK Haziran 2026, sayı 58344</w:t>
        </w:r>
      </w:hyperlink>
      <w:r>
        <w:t xml:space="preserve">, </w:t>
      </w:r>
      <w:hyperlink r:id="rId16">
        <w:r>
          <w:rPr>
            <w:color w:val="2E74B5"/>
          </w:rPr>
          <w:t>TCMB 29 Ocak 2026</w:t>
        </w:r>
      </w:hyperlink>
      <w:r>
        <w:t xml:space="preserve">, </w:t>
      </w:r>
      <w:hyperlink r:id="rId17">
        <w:r>
          <w:rPr>
            <w:color w:val="2E74B5"/>
          </w:rPr>
          <w:t>TCMB 18 Haziran 2026</w:t>
        </w:r>
      </w:hyperlink>
      <w:r>
        <w:t>.</w:t>
      </w:r>
    </w:p>
    <w:p>
      <w:r>
        <w:br w:type="page"/>
      </w:r>
    </w:p>
    <w:p>
      <w:pPr>
        <w:pStyle w:val="Heading1"/>
      </w:pPr>
      <w:r>
        <w:t>Kritik bulgu: Ağustos 2025 kaynak farkı</w:t>
      </w:r>
    </w:p>
    <w:tbl>
      <w:tblPr>
        <w:tblW w:type="dxa" w:w="9360"/>
        <w:tblLayout w:type="fixed"/>
        <w:tblLook w:firstColumn="1" w:firstRow="1" w:lastColumn="0" w:lastRow="0" w:noHBand="0" w:noVBand="1" w:val="04A0"/>
        <w:jc w:val="left"/>
        <w:tblBorders>
          <w:top w:val="single" w:sz="4" w:color="D6DEE7"/>
          <w:left w:val="single" w:sz="4" w:color="D6DEE7"/>
          <w:bottom w:val="single" w:sz="4" w:color="D6DEE7"/>
          <w:right w:val="single" w:sz="4" w:color="D6DEE7"/>
          <w:insideH w:val="single" w:sz="4" w:color="D6DEE7"/>
          <w:insideV w:val="single" w:sz="4" w:color="D6DEE7"/>
        </w:tblBorders>
        <w:tblInd w:type="dxa" w:w="120"/>
      </w:tblPr>
      <w:tblGrid>
        <w:gridCol w:w="2400"/>
        <w:gridCol w:w="3480"/>
        <w:gridCol w:w="3480"/>
      </w:tblGrid>
      <w:tr>
        <w:trPr>
          <w:tblHeader/>
          <w:cantSplit/>
        </w:trPr>
        <w:tc>
          <w:tcPr>
            <w:tcW w:type="dxa" w:w="2400"/>
            <w:shd w:fill="F2F4F7"/>
            <w:vAlign w:val="center"/>
            <w:tcMar>
              <w:top w:w="80" w:type="dxa"/>
              <w:bottom w:w="80" w:type="dxa"/>
              <w:start w:w="120" w:type="dxa"/>
              <w:end w:w="120" w:type="dxa"/>
            </w:tcMar>
          </w:tcPr>
          <w:p>
            <w:pPr>
              <w:pStyle w:val="TableText"/>
            </w:pPr>
            <w:r>
              <w:rPr>
                <w:b/>
              </w:rPr>
              <w:t>Dönem</w:t>
            </w:r>
          </w:p>
        </w:tc>
        <w:tc>
          <w:tcPr>
            <w:tcW w:type="dxa" w:w="3480"/>
            <w:shd w:fill="F2F4F7"/>
            <w:vAlign w:val="center"/>
            <w:tcMar>
              <w:top w:w="80" w:type="dxa"/>
              <w:bottom w:w="80" w:type="dxa"/>
              <w:start w:w="120" w:type="dxa"/>
              <w:end w:w="120" w:type="dxa"/>
            </w:tcMar>
          </w:tcPr>
          <w:p>
            <w:pPr>
              <w:pStyle w:val="TableText"/>
            </w:pPr>
            <w:r>
              <w:rPr>
                <w:b/>
              </w:rPr>
              <w:t>TCMB, milyar TL</w:t>
            </w:r>
          </w:p>
        </w:tc>
        <w:tc>
          <w:tcPr>
            <w:tcW w:type="dxa" w:w="3480"/>
            <w:shd w:fill="F2F4F7"/>
            <w:vAlign w:val="center"/>
            <w:tcMar>
              <w:top w:w="80" w:type="dxa"/>
              <w:bottom w:w="80" w:type="dxa"/>
              <w:start w:w="120" w:type="dxa"/>
              <w:end w:w="120" w:type="dxa"/>
            </w:tcMar>
          </w:tcPr>
          <w:p>
            <w:pPr>
              <w:pStyle w:val="TableText"/>
            </w:pPr>
            <w:r>
              <w:rPr>
                <w:b/>
              </w:rPr>
              <w:t>HMB/BDDK, milyar TL</w:t>
            </w:r>
          </w:p>
        </w:tc>
      </w:tr>
      <w:tr>
        <w:trPr>
          <w:cantSplit/>
        </w:trPr>
        <w:tc>
          <w:tcPr>
            <w:tcW w:type="dxa" w:w="2400"/>
            <w:vAlign w:val="center"/>
            <w:tcMar>
              <w:top w:w="80" w:type="dxa"/>
              <w:bottom w:w="80" w:type="dxa"/>
              <w:start w:w="120" w:type="dxa"/>
              <w:end w:w="120" w:type="dxa"/>
            </w:tcMar>
          </w:tcPr>
          <w:p>
            <w:pPr>
              <w:pStyle w:val="TableText"/>
            </w:pPr>
            <w:r>
              <w:t>Temmuz 2025</w:t>
            </w:r>
          </w:p>
        </w:tc>
        <w:tc>
          <w:tcPr>
            <w:tcW w:type="dxa" w:w="3480"/>
            <w:vAlign w:val="center"/>
            <w:tcMar>
              <w:top w:w="80" w:type="dxa"/>
              <w:bottom w:w="80" w:type="dxa"/>
              <w:start w:w="120" w:type="dxa"/>
              <w:end w:w="120" w:type="dxa"/>
            </w:tcMar>
          </w:tcPr>
          <w:p>
            <w:pPr>
              <w:pStyle w:val="TableText"/>
            </w:pPr>
            <w:r>
              <w:t>593,979</w:t>
            </w:r>
          </w:p>
        </w:tc>
        <w:tc>
          <w:tcPr>
            <w:tcW w:type="dxa" w:w="3480"/>
            <w:vAlign w:val="center"/>
            <w:tcMar>
              <w:top w:w="80" w:type="dxa"/>
              <w:bottom w:w="80" w:type="dxa"/>
              <w:start w:w="120" w:type="dxa"/>
              <w:end w:w="120" w:type="dxa"/>
            </w:tcMar>
          </w:tcPr>
          <w:p>
            <w:pPr>
              <w:pStyle w:val="TableText"/>
            </w:pPr>
            <w:r>
              <w:t>592</w:t>
            </w:r>
          </w:p>
        </w:tc>
      </w:tr>
      <w:tr>
        <w:trPr>
          <w:cantSplit/>
        </w:trPr>
        <w:tc>
          <w:tcPr>
            <w:tcW w:type="dxa" w:w="2400"/>
            <w:vAlign w:val="center"/>
            <w:tcMar>
              <w:top w:w="80" w:type="dxa"/>
              <w:bottom w:w="80" w:type="dxa"/>
              <w:start w:w="120" w:type="dxa"/>
              <w:end w:w="120" w:type="dxa"/>
            </w:tcMar>
          </w:tcPr>
          <w:p>
            <w:pPr>
              <w:pStyle w:val="TableText"/>
            </w:pPr>
            <w:r>
              <w:t>Ağustos 2025</w:t>
            </w:r>
          </w:p>
        </w:tc>
        <w:tc>
          <w:tcPr>
            <w:tcW w:type="dxa" w:w="3480"/>
            <w:vAlign w:val="center"/>
            <w:tcMar>
              <w:top w:w="80" w:type="dxa"/>
              <w:bottom w:w="80" w:type="dxa"/>
              <w:start w:w="120" w:type="dxa"/>
              <w:end w:w="120" w:type="dxa"/>
            </w:tcMar>
          </w:tcPr>
          <w:p>
            <w:pPr>
              <w:pStyle w:val="TableText"/>
            </w:pPr>
            <w:r>
              <w:t>662,734</w:t>
            </w:r>
          </w:p>
        </w:tc>
        <w:tc>
          <w:tcPr>
            <w:tcW w:type="dxa" w:w="3480"/>
            <w:vAlign w:val="center"/>
            <w:tcMar>
              <w:top w:w="80" w:type="dxa"/>
              <w:bottom w:w="80" w:type="dxa"/>
              <w:start w:w="120" w:type="dxa"/>
              <w:end w:w="120" w:type="dxa"/>
            </w:tcMar>
          </w:tcPr>
          <w:p>
            <w:pPr>
              <w:pStyle w:val="TableText"/>
            </w:pPr>
            <w:r>
              <w:t>609</w:t>
            </w:r>
          </w:p>
        </w:tc>
      </w:tr>
      <w:tr>
        <w:trPr>
          <w:cantSplit/>
        </w:trPr>
        <w:tc>
          <w:tcPr>
            <w:tcW w:type="dxa" w:w="2400"/>
            <w:vAlign w:val="center"/>
            <w:tcMar>
              <w:top w:w="80" w:type="dxa"/>
              <w:bottom w:w="80" w:type="dxa"/>
              <w:start w:w="120" w:type="dxa"/>
              <w:end w:w="120" w:type="dxa"/>
            </w:tcMar>
          </w:tcPr>
          <w:p>
            <w:pPr>
              <w:pStyle w:val="TableText"/>
            </w:pPr>
            <w:r>
              <w:t>Eylül 2025</w:t>
            </w:r>
          </w:p>
        </w:tc>
        <w:tc>
          <w:tcPr>
            <w:tcW w:type="dxa" w:w="3480"/>
            <w:vAlign w:val="center"/>
            <w:tcMar>
              <w:top w:w="80" w:type="dxa"/>
              <w:bottom w:w="80" w:type="dxa"/>
              <w:start w:w="120" w:type="dxa"/>
              <w:end w:w="120" w:type="dxa"/>
            </w:tcMar>
          </w:tcPr>
          <w:p>
            <w:pPr>
              <w:pStyle w:val="TableText"/>
            </w:pPr>
            <w:r>
              <w:t>623,125</w:t>
            </w:r>
          </w:p>
        </w:tc>
        <w:tc>
          <w:tcPr>
            <w:tcW w:type="dxa" w:w="3480"/>
            <w:vAlign w:val="center"/>
            <w:tcMar>
              <w:top w:w="80" w:type="dxa"/>
              <w:bottom w:w="80" w:type="dxa"/>
              <w:start w:w="120" w:type="dxa"/>
              <w:end w:w="120" w:type="dxa"/>
            </w:tcMar>
          </w:tcPr>
          <w:p>
            <w:pPr>
              <w:pStyle w:val="TableText"/>
            </w:pPr>
            <w:r>
              <w:t>622</w:t>
            </w:r>
          </w:p>
        </w:tc>
      </w:tr>
    </w:tbl>
    <w:p>
      <w:pPr>
        <w:pStyle w:val="TableCitation"/>
      </w:pPr>
      <w:r/>
    </w:p>
    <w:p>
      <w:pPr>
        <w:pStyle w:val="TableCitation"/>
      </w:pPr>
      <w:r>
        <w:t xml:space="preserve">TCMB sütunu üç banka grubunun konut bakiyesi toplamı; HMB sütunu BDDK kaynaklı, milyar TL'ye yuvarlanmış yayındır. Kaynak: HMB, </w:t>
      </w:r>
      <w:r>
        <w:rPr>
          <w:i/>
        </w:rPr>
        <w:t>Ekonomik Göstergeler</w:t>
      </w:r>
      <w:r>
        <w:t xml:space="preserve">, 3 Eylül 2026, Tablo VI.3.4, basılı s.146; </w:t>
      </w:r>
      <w:hyperlink r:id="rId14">
        <w:r>
          <w:rPr>
            <w:color w:val="2E74B5"/>
          </w:rPr>
          <w:t>resmî PDF</w:t>
        </w:r>
      </w:hyperlink>
      <w:r>
        <w:t>.</w:t>
      </w:r>
    </w:p>
    <w:p>
      <w:r>
        <w:t xml:space="preserve">54 aylık konut karşılaştırmasında Ağustos farkı %8,82; kalan aylarda en büyük mutlak fark yaklaşık %0,64. Mevduat bankaları </w:t>
      </w:r>
      <w:r>
        <w:rPr>
          <w:rFonts w:ascii="Consolas" w:hAnsi="Consolas"/>
          <w:sz w:val="18"/>
        </w:rPr>
        <w:t>TP.KM.B11</w:t>
      </w:r>
      <w:r>
        <w:t xml:space="preserve"> için yeni, tek serilik TCMB sorgusu aynı gözlemi tekrar verdi. Böylece CSV dönüşümünün bu sıçramayı üretmediği kontrol edildi.</w:t>
      </w:r>
    </w:p>
    <w:p>
      <w:r/>
      <w:r>
        <w:rPr>
          <w:b/>
        </w:rPr>
        <w:t>Bu, TCMB'nin kesin yanlış olduğu kanıtı değildir.</w:t>
      </w:r>
      <w:r>
        <w:t xml:space="preserve"> Kapsam farkı, revizyon, sınıflama veya kaynak bildirimi gibi açıklamalar henüz ayrıştırılamadı. HMB'nin yuvarlanmış değerini TCMB'nin yerine koymadık. Tüketici bileşen eşitliğinin geçmesi de bu kaynak farkını ortadan kaldırmıyor.</w:t>
      </w:r>
    </w:p>
    <w:p>
      <w:r>
        <w:t>Kalite uyarısı Ağustos seviyesine; onu kullanan Ağustos ve Eylül aylık değişimlerine taşındı. Tüketici üst toplamı ihtiyatlı olarak işaretlendi. Yıllık değişimde de cari veya baz ay etkileniyorsa bayrak taşınır. Yeni veri eklenirse Ağustos 2026 yıllık değişimi de bu mantıkla kontrol edilir.</w:t>
      </w:r>
    </w:p>
    <w:p>
      <w:r/>
      <w:r>
        <w:rPr>
          <w:b/>
        </w:rPr>
        <w:t>Sonuca etkisi:</w:t>
      </w:r>
      <w:r>
        <w:t xml:space="preserve"> “Aylık faiz ortalaması düşerken reel kredi bakiyesi artmayan aylar” ham veride 23 ay. Bilinen kaynak uyarısı taşıyan değişimler ayrıldığında 22 ay; ayrılan eşleşme Eylül 2025. Kaynak uyarısı taşıyan Ağustos 2025 zaten koşulu sağlamıyordu. İki sonuç da pakette korunuyor.</w:t>
      </w:r>
    </w:p>
    <w:p>
      <w:r>
        <w:t>Aynı ay faiz değişimi–reel kredi büyümesi korelasyonu ham örneklemde yaklaşık −0,403 (n=66); uyarılı değişimler ayrıldığında −0,436 (n=64). Bunlar betimleyici duyarlılık hesaplarıdır; mevsimsellik, ortak etkenler ve kapsam farklılıkları giderilmiş bir nedensel etki değildir. Önceden belirlenen 1–3 aylık gecikmelerin tamamı da sonuç dosyasında tutuldu; en iyi görünen sonuç tek başına seçilmedi.</w:t>
      </w:r>
    </w:p>
    <w:p>
      <w:r/>
      <w:r>
        <w:rPr>
          <w:b/>
        </w:rPr>
        <w:t>İlk BDDK kontrolü Ağustos 2025 olmalı.</w:t>
      </w:r>
      <w:r>
        <w:t xml:space="preserve"> Doğrudan export geldiğinde dönem, tablo, banka grubu, TL/YP kapsamı, birim ve olası revizyonları birlikte karşılaştıracağız.</w:t>
      </w:r>
    </w:p>
    <w:p>
      <w:r>
        <w:br w:type="page"/>
      </w:r>
    </w:p>
    <w:p>
      <w:pPr>
        <w:pStyle w:val="Heading1"/>
      </w:pPr>
      <w:r>
        <w:t>İşe yarayan ek veri ve doğru birleştirme</w:t>
      </w:r>
    </w:p>
    <w:p>
      <w:r/>
      <w:r>
        <w:rPr>
          <w:b/>
        </w:rPr>
        <w:t>HMB/BDDK:</w:t>
      </w:r>
      <w:r>
        <w:t xml:space="preserve"> Ocak 2022–Haziran 2026 için 54 ay × 5 bakiye kalemi ayrı kaynak tablosuna alındı. Tam hassasiyetli aylık BDDK export'unun yerine geçmez; 2021 aylık boşluğunu kapatmaz. En somut katkısı kaynak farkını ortaya çıkarmasıdır.</w:t>
      </w:r>
    </w:p>
    <w:p>
      <w:r/>
      <w:r>
        <w:rPr>
          <w:b/>
        </w:rPr>
        <w:t>TBB:</w:t>
      </w:r>
      <w:r>
        <w:t xml:space="preserve"> 2021Q1–2025Q4 için yeni kredi kullandırımını bulduk. TBB'nin 2025 yıllık ekinden 20 çeyrek, TP/YP/toplam olarak 60 satır çıkarıldı. Konut kullandırım tutarı, konut kullandırımı kişi kaydı, tüketici toplam kullandırımı ve konut bakiyesi ayrı alanlardır. Kaynak: Türkiye Bankalar Birliği, </w:t>
      </w:r>
      <w:hyperlink r:id="rId18">
        <w:r>
          <w:rPr>
            <w:color w:val="2E74B5"/>
          </w:rPr>
          <w:t>2025 yıllık rapor sayfası</w:t>
        </w:r>
      </w:hyperlink>
      <w:r>
        <w:t xml:space="preserve"> ve </w:t>
      </w:r>
      <w:hyperlink r:id="rId19">
        <w:r>
          <w:rPr>
            <w:color w:val="2E74B5"/>
          </w:rPr>
          <w:t>tarihsel XLS eki</w:t>
        </w:r>
      </w:hyperlink>
      <w:r>
        <w:t>, erişim 7 Eylül 2026.</w:t>
      </w:r>
    </w:p>
    <w:p>
      <w:r>
        <w:t>Kullandırım üç aylık akımdır. Kişi kayıtları tekilleştirilmez. Raporlayan üye banka kapsamı TCMB/BDDK ile eşit varsayılamaz; kredi kartları ve kredili mevduat kapsam dışıdır, reeskont nedeniyle farklar olabilir. 2026 çeyrekleri bu ek dosyada bulunmuyor. TP+YP toplamları ve dosyanın iki bölümündeki tüketici kullandırım toplamları kontrol edildi; bütün tutarlar ikinci bir yayında doğrulanmadı.</w:t>
      </w:r>
    </w:p>
    <w:tbl>
      <w:tblPr>
        <w:tblW w:type="dxa" w:w="9360"/>
        <w:tblLayout w:type="fixed"/>
        <w:tblLook w:firstColumn="1" w:firstRow="1" w:lastColumn="0" w:lastRow="0" w:noHBand="0" w:noVBand="1" w:val="04A0"/>
        <w:jc w:val="left"/>
        <w:tblBorders>
          <w:top w:val="single" w:sz="4" w:color="D6DEE7"/>
          <w:left w:val="single" w:sz="4" w:color="D6DEE7"/>
          <w:bottom w:val="single" w:sz="4" w:color="D6DEE7"/>
          <w:right w:val="single" w:sz="4" w:color="D6DEE7"/>
          <w:insideH w:val="single" w:sz="4" w:color="D6DEE7"/>
          <w:insideV w:val="single" w:sz="4" w:color="D6DEE7"/>
        </w:tblBorders>
        <w:tblInd w:type="dxa" w:w="120"/>
      </w:tblPr>
      <w:tblGrid>
        <w:gridCol w:w="2850"/>
        <w:gridCol w:w="6510"/>
      </w:tblGrid>
      <w:tr>
        <w:trPr>
          <w:tblHeader/>
          <w:cantSplit/>
        </w:trPr>
        <w:tc>
          <w:tcPr>
            <w:tcW w:type="dxa" w:w="2850"/>
            <w:shd w:fill="F2F4F7"/>
            <w:vAlign w:val="center"/>
            <w:tcMar>
              <w:top w:w="80" w:type="dxa"/>
              <w:bottom w:w="80" w:type="dxa"/>
              <w:start w:w="120" w:type="dxa"/>
              <w:end w:w="120" w:type="dxa"/>
            </w:tcMar>
          </w:tcPr>
          <w:p>
            <w:pPr>
              <w:pStyle w:val="TableText"/>
            </w:pPr>
            <w:r>
              <w:rPr>
                <w:b/>
              </w:rPr>
              <w:t>Çeyrek tablosundaki sütun</w:t>
            </w:r>
          </w:p>
        </w:tc>
        <w:tc>
          <w:tcPr>
            <w:tcW w:type="dxa" w:w="6510"/>
            <w:shd w:fill="F2F4F7"/>
            <w:vAlign w:val="center"/>
            <w:tcMar>
              <w:top w:w="80" w:type="dxa"/>
              <w:bottom w:w="80" w:type="dxa"/>
              <w:start w:w="120" w:type="dxa"/>
              <w:end w:w="120" w:type="dxa"/>
            </w:tcMar>
          </w:tcPr>
          <w:p>
            <w:pPr>
              <w:pStyle w:val="TableText"/>
            </w:pPr>
            <w:r>
              <w:rPr>
                <w:b/>
              </w:rPr>
              <w:t>Yapılan işlem</w:t>
            </w:r>
          </w:p>
        </w:tc>
      </w:tr>
      <w:tr>
        <w:trPr>
          <w:cantSplit/>
        </w:trPr>
        <w:tc>
          <w:tcPr>
            <w:tcW w:type="dxa" w:w="2850"/>
            <w:vAlign w:val="center"/>
            <w:tcMar>
              <w:top w:w="80" w:type="dxa"/>
              <w:bottom w:w="80" w:type="dxa"/>
              <w:start w:w="120" w:type="dxa"/>
              <w:end w:w="120" w:type="dxa"/>
            </w:tcMar>
          </w:tcPr>
          <w:p>
            <w:pPr>
              <w:pStyle w:val="TableText"/>
            </w:pPr>
            <w:r>
              <w:t>TBB konut kullandırımı</w:t>
            </w:r>
          </w:p>
        </w:tc>
        <w:tc>
          <w:tcPr>
            <w:tcW w:type="dxa" w:w="6510"/>
            <w:vAlign w:val="center"/>
            <w:tcMar>
              <w:top w:w="80" w:type="dxa"/>
              <w:bottom w:w="80" w:type="dxa"/>
              <w:start w:w="120" w:type="dxa"/>
              <w:end w:w="120" w:type="dxa"/>
            </w:tcMar>
          </w:tcPr>
          <w:p>
            <w:pPr>
              <w:pStyle w:val="TableText"/>
            </w:pPr>
            <w:r>
              <w:t>Kaynaktaki çeyrek akımı aynen korunur.</w:t>
            </w:r>
          </w:p>
        </w:tc>
      </w:tr>
      <w:tr>
        <w:trPr>
          <w:cantSplit/>
        </w:trPr>
        <w:tc>
          <w:tcPr>
            <w:tcW w:type="dxa" w:w="2850"/>
            <w:vAlign w:val="center"/>
            <w:tcMar>
              <w:top w:w="80" w:type="dxa"/>
              <w:bottom w:w="80" w:type="dxa"/>
              <w:start w:w="120" w:type="dxa"/>
              <w:end w:w="120" w:type="dxa"/>
            </w:tcMar>
          </w:tcPr>
          <w:p>
            <w:pPr>
              <w:pStyle w:val="TableText"/>
            </w:pPr>
            <w:r>
              <w:t>TÜİK konut satışı</w:t>
            </w:r>
          </w:p>
        </w:tc>
        <w:tc>
          <w:tcPr>
            <w:tcW w:type="dxa" w:w="6510"/>
            <w:vAlign w:val="center"/>
            <w:tcMar>
              <w:top w:w="80" w:type="dxa"/>
              <w:bottom w:w="80" w:type="dxa"/>
              <w:start w:w="120" w:type="dxa"/>
              <w:end w:w="120" w:type="dxa"/>
            </w:tcMar>
          </w:tcPr>
          <w:p>
            <w:pPr>
              <w:pStyle w:val="TableText"/>
            </w:pPr>
            <w:r>
              <w:t>Üç aylık adetler toplanır.</w:t>
            </w:r>
          </w:p>
        </w:tc>
      </w:tr>
      <w:tr>
        <w:trPr>
          <w:cantSplit/>
        </w:trPr>
        <w:tc>
          <w:tcPr>
            <w:tcW w:type="dxa" w:w="2850"/>
            <w:vAlign w:val="center"/>
            <w:tcMar>
              <w:top w:w="80" w:type="dxa"/>
              <w:bottom w:w="80" w:type="dxa"/>
              <w:start w:w="120" w:type="dxa"/>
              <w:end w:w="120" w:type="dxa"/>
            </w:tcMar>
          </w:tcPr>
          <w:p>
            <w:pPr>
              <w:pStyle w:val="TableText"/>
            </w:pPr>
            <w:r>
              <w:t>TCMB kredi bakiyesi</w:t>
            </w:r>
          </w:p>
        </w:tc>
        <w:tc>
          <w:tcPr>
            <w:tcW w:type="dxa" w:w="6510"/>
            <w:vAlign w:val="center"/>
            <w:tcMar>
              <w:top w:w="80" w:type="dxa"/>
              <w:bottom w:w="80" w:type="dxa"/>
              <w:start w:w="120" w:type="dxa"/>
              <w:end w:w="120" w:type="dxa"/>
            </w:tcMar>
          </w:tcPr>
          <w:p>
            <w:pPr>
              <w:pStyle w:val="TableText"/>
            </w:pPr>
            <w:r>
              <w:t>Çeyreğin son ayı alınır.</w:t>
            </w:r>
          </w:p>
        </w:tc>
      </w:tr>
      <w:tr>
        <w:trPr>
          <w:cantSplit/>
        </w:trPr>
        <w:tc>
          <w:tcPr>
            <w:tcW w:type="dxa" w:w="2850"/>
            <w:vAlign w:val="center"/>
            <w:tcMar>
              <w:top w:w="80" w:type="dxa"/>
              <w:bottom w:w="80" w:type="dxa"/>
              <w:start w:w="120" w:type="dxa"/>
              <w:end w:w="120" w:type="dxa"/>
            </w:tcMar>
          </w:tcPr>
          <w:p>
            <w:pPr>
              <w:pStyle w:val="TableText"/>
            </w:pPr>
            <w:r>
              <w:t>TCMB konut faizi</w:t>
            </w:r>
          </w:p>
        </w:tc>
        <w:tc>
          <w:tcPr>
            <w:tcW w:type="dxa" w:w="6510"/>
            <w:vAlign w:val="center"/>
            <w:tcMar>
              <w:top w:w="80" w:type="dxa"/>
              <w:bottom w:w="80" w:type="dxa"/>
              <w:start w:w="120" w:type="dxa"/>
              <w:end w:w="120" w:type="dxa"/>
            </w:tcMar>
          </w:tcPr>
          <w:p>
            <w:pPr>
              <w:pStyle w:val="TableText"/>
            </w:pPr>
            <w:r>
              <w:t>Çeyrek içindeki haftalık yıllık oranların basit ortalaması.</w:t>
            </w:r>
          </w:p>
        </w:tc>
      </w:tr>
      <w:tr>
        <w:trPr>
          <w:cantSplit/>
        </w:trPr>
        <w:tc>
          <w:tcPr>
            <w:tcW w:type="dxa" w:w="2850"/>
            <w:vAlign w:val="center"/>
            <w:tcMar>
              <w:top w:w="80" w:type="dxa"/>
              <w:bottom w:w="80" w:type="dxa"/>
              <w:start w:w="120" w:type="dxa"/>
              <w:end w:w="120" w:type="dxa"/>
            </w:tcMar>
          </w:tcPr>
          <w:p>
            <w:pPr>
              <w:pStyle w:val="TableText"/>
            </w:pPr>
            <w:r>
              <w:t>Türkiye KFE</w:t>
            </w:r>
          </w:p>
        </w:tc>
        <w:tc>
          <w:tcPr>
            <w:tcW w:type="dxa" w:w="6510"/>
            <w:vAlign w:val="center"/>
            <w:tcMar>
              <w:top w:w="80" w:type="dxa"/>
              <w:bottom w:w="80" w:type="dxa"/>
              <w:start w:w="120" w:type="dxa"/>
              <w:end w:w="120" w:type="dxa"/>
            </w:tcMar>
          </w:tcPr>
          <w:p>
            <w:pPr>
              <w:pStyle w:val="TableText"/>
            </w:pPr>
            <w:r>
              <w:t>Çeyreğin son ayındaki endeks.</w:t>
            </w:r>
          </w:p>
        </w:tc>
      </w:tr>
    </w:tbl>
    <w:p>
      <w:pPr>
        <w:pStyle w:val="TableCitation"/>
      </w:pPr>
      <w:r/>
    </w:p>
    <w:p>
      <w:r>
        <w:t xml:space="preserve">Böylece 20 satırlık </w:t>
      </w:r>
      <w:r>
        <w:rPr>
          <w:rFonts w:ascii="Consolas" w:hAnsi="Consolas"/>
          <w:sz w:val="18"/>
        </w:rPr>
        <w:t>quarterly_source_comparison.csv</w:t>
      </w:r>
      <w:r>
        <w:t xml:space="preserve"> oluştu. Çeyrek akımını üçe bölerek veya aylara kopyalayarak aylık veri üretmedik. Yalnızca “ay sonu borç ne kadar?” sorusuna cevap veren stok, artık “bu çeyrekte ne kadar yeni kredi kullanılmış?” sorusuyla karıştırılmak zorunda değil.</w:t>
      </w:r>
    </w:p>
    <w:p>
      <w:r/>
      <w:r>
        <w:rPr>
          <w:b/>
        </w:rPr>
        <w:t>Daha fazla veri kararı:</w:t>
      </w:r>
      <w:r>
        <w:t xml:space="preserve"> Şimdilik rastgele yüzlerce ek ekonomik seri önermiyorum. Zorunlu BDDK aylık/haftalık/FinTürk kapsamı ve genel motorun yeni şema desteği daha öncelikli. Yeni kaynak; bir kabul sorusunu cevaplıyor, eksik anlamı kapatıyor veya karşı kontrol sağlıyorsa eklenmeli. Ekonomik nedensellik sorusu için hangi değişkenlerin gerektiği ayrıca tasarımla belirlenir; hiçbir ek dosyanın kazanmayı kesin sağlayacağı söylenemez.</w:t>
      </w:r>
    </w:p>
    <w:p>
      <w:r>
        <w:br w:type="page"/>
      </w:r>
    </w:p>
    <w:p>
      <w:pPr>
        <w:pStyle w:val="Heading1"/>
      </w:pPr>
      <w:r>
        <w:t>Eğitim ve ürün mimarisi kararı</w:t>
      </w:r>
    </w:p>
    <w:p>
      <w:r/>
      <w:r>
        <w:rPr>
          <w:b/>
        </w:rPr>
        <w:t>LLM fine-tuning şimdi gerekmiyor.</w:t>
      </w:r>
      <w:r>
        <w:t xml:space="preserve"> Paylaşılan </w:t>
      </w:r>
      <w:r>
        <w:rPr>
          <w:rFonts w:ascii="Consolas" w:hAnsi="Consolas"/>
          <w:sz w:val="18"/>
        </w:rPr>
        <w:t>Pasted text (3).txt</w:t>
      </w:r>
      <w:r>
        <w:t>, bölüm 10'da fine-tuning beklentisine olumsuz yanıt veriliyor; genel modeller çevresinde modüler yapı isteniyor. Bölüm 9'daki açıklama, geliştirme ve demoda sağlanan model servisini kullanmayı yönlendiriyor. Bu metin düzenlenmiş toplantı dökümüdür; yazılı şartnamenin tüm ayrıntılarını içerdiği varsayılmadı.</w:t>
      </w:r>
    </w:p>
    <w:p>
      <w:r>
        <w:t>Sayısal veriyi model ağırlıklarına öğretmek revizyon, birim veya yanlış join sorununu çözmez. Bugünkü bulgu bunu gösteriyor: kaynak dosyası eksiksiz indiriliyor ve bileşenler tutuyor, fakat ikinci yayınla ciddi fark çıkıyor. Gerekli davranış, farkı saklamadan açıklamak ve etkilenen hesaplara taşımak.</w:t>
      </w:r>
    </w:p>
    <w:p>
      <w:r>
        <w:t xml:space="preserve">Önerilen işleyiş: kullanıcı isteği → sınırlı işlem planı → metadata doğrulaması → SQL/Python aracı → sonuç ve durum kontrolü → kaynaklı açıklama. Model dönem, seri ve işlemi seçer; aritmetik araçta yapılır. </w:t>
      </w:r>
      <w:r>
        <w:rPr>
          <w:rFonts w:ascii="Consolas" w:hAnsi="Consolas"/>
          <w:sz w:val="18"/>
        </w:rPr>
        <w:t>series_ids</w:t>
      </w:r>
      <w:r>
        <w:t>, dönem, coğrafya, birim, stok/akım, agregasyon, join anahtarı ve dönüşüm planın açık alanları olmalı.</w:t>
      </w:r>
    </w:p>
    <w:p>
      <w:r>
        <w:t xml:space="preserve">Metadata erişimi ve uzun veri iş akışları, gerçekçi text-to-SQL değerlendirmelerinde de merkezi sorunlardır. Bu bulgu mimari tercihi destekler; yarışma sağlayıcısının başarısını önceden ölçmez. </w:t>
      </w:r>
      <w:hyperlink r:id="rId20">
        <w:r>
          <w:rPr>
            <w:color w:val="2E74B5"/>
          </w:rPr>
          <w:t>Lei ve diğerleri, Spider 2.0, 2025 sürümü</w:t>
        </w:r>
      </w:hyperlink>
      <w:r>
        <w:t>.</w:t>
      </w:r>
    </w:p>
    <w:p>
      <w:r>
        <w:t>Her tablo sürümü; satır anahtarı, dönem/filtresi, sütun tanımları, kaynak snapshot'ı ve işlem geçmişini saklamalı. “Faizi ekle” mevcut sütunları değiştirmemeli; başarısız işlem son geçerli tabloyu korumalı. Kaynak kartında birim, kapsam, kalite uyarısı, hesap ve veri özeti bulunmalı.</w:t>
      </w:r>
    </w:p>
    <w:p>
      <w:r>
        <w:t xml:space="preserve">DuckDB/Parquet ilk yerel sürüm için uygun bir seçenek; tek başına SQL'in SELECT olması dosya erişimini sınırlandırmaya yetmez. Dış erişim, eklentiler ve çalışma ortamı ayrıca sınırlandırılmalı. </w:t>
      </w:r>
      <w:hyperlink r:id="rId21">
        <w:r>
          <w:rPr>
            <w:color w:val="2E74B5"/>
          </w:rPr>
          <w:t>DuckDB resmî güvenlik rehberi</w:t>
        </w:r>
      </w:hyperlink>
      <w:r>
        <w:t>, erişim 7 Eylül 2026.</w:t>
      </w:r>
    </w:p>
    <w:p>
      <w:r/>
      <w:r>
        <w:rPr>
          <w:b/>
        </w:rPr>
        <w:t>İstatistiksel model uyarlaması başka iştir.</w:t>
      </w:r>
      <w:r>
        <w:t xml:space="preserve"> Anomali veya regresyon için parametre uyarlamak LLM eğitmek değildir. Tahmin talebi gelirse önce basit baz modelle zaman sıralı değerlendirme yapılmalı; gelecek gözlemler eğitime sızmamalı. Güncel revize tarihçeyi kullanmak da geçmişte bilinen veriyi otomatik temsil etmez. </w:t>
      </w:r>
      <w:hyperlink r:id="rId22">
        <w:r>
          <w:rPr>
            <w:color w:val="2E74B5"/>
          </w:rPr>
          <w:t>Hyndman ve Athanasopoulos, zaman serisi çapraz doğrulaması</w:t>
        </w:r>
      </w:hyperlink>
      <w:r>
        <w:t>.</w:t>
      </w:r>
    </w:p>
    <w:p>
      <w:r>
        <w:t>Fine-tuning ancak izin ve kaynaklar netse, doğru metadata/araçlarla hâlâ tekrarlayan model hatası varsa, güvenilir eğitim örnekleri hazırlanmışsa ve ayrı testte tekrarlanabilir kazanım görülüyorsa düşünülmeli. Bugün bu koşulların sağlandığı gösterilmedi.</w:t>
      </w:r>
    </w:p>
    <w:p>
      <w:r>
        <w:br w:type="page"/>
      </w:r>
    </w:p>
    <w:p>
      <w:pPr>
        <w:pStyle w:val="Heading1"/>
      </w:pPr>
      <w:r>
        <w:t>Kazanma ihtimalini artıracak gösterim ve açık işler</w:t>
      </w:r>
    </w:p>
    <w:p>
      <w:r>
        <w:t>Demo için güçlü bir ayrıntı: aynı tabloda “faiz düşerken kredi artmamış mı?” sorusunu çalıştırın. Sistem 23 ham eşleşmeyi göstersin, bir kaynak sorununun neden Eylül hesabını etkilediğini açıklasın ve uyarıları ayırınca 22 kaldığını gösterebilsin. Ardından kullanıcı yeni kredi kullandırımını sorunca stok farkı üretmek yerine çeyreklik TBB kaynağına doğru kapsamla geçsin.</w:t>
      </w:r>
    </w:p>
    <w:p>
      <w:r>
        <w:t>Bu akış yalnız güzel açıklama üretmeyi değil; veri anlamını, kaynak kontrolünü, hesap izini ve takip sorusunu korumayı görünür kılar. Son sınama, motora daha önce gösterilmemiş finans dışı bir dosyayla yapılmalı. Yeni şema için birim/tarih eşlemesi gerektiğinde bunu açıkça istemek, anlamı uydurmaktan daha güvenilir bir davranıştır.</w:t>
      </w:r>
    </w:p>
    <w:p>
      <w:r/>
      <w:r>
        <w:rPr>
          <w:b/>
        </w:rPr>
        <w:t>Hazır değerlendirme taslağı:</w:t>
      </w:r>
      <w:r>
        <w:t xml:space="preserve"> 60 soru; dönem, seri, birim, frekans, kalite, durum, web, analiz, hata ve genelleme ailelerine dağıtıldı. Ayrıca 10 konuşma zinciri var. Bunlar resmî sorular veya yapılmış LLM testleri değildir. Dosyada bütün sorular görülebildiği için ekip, 20 saklı soruyu bağımsız olarak yeniden hazırlamalı. Kritik yanlış birim/kaynak/durum kaybında sıfır hata ve saklı 20 soruda en az 18 doğru, önerilen iç eşiklerdir.</w:t>
      </w:r>
    </w:p>
    <w:tbl>
      <w:tblPr>
        <w:tblW w:type="dxa" w:w="9360"/>
        <w:tblLayout w:type="fixed"/>
        <w:tblLook w:firstColumn="1" w:firstRow="1" w:lastColumn="0" w:lastRow="0" w:noHBand="0" w:noVBand="1" w:val="04A0"/>
        <w:jc w:val="left"/>
        <w:tblBorders>
          <w:top w:val="single" w:sz="4" w:color="D6DEE7"/>
          <w:left w:val="single" w:sz="4" w:color="D6DEE7"/>
          <w:bottom w:val="single" w:sz="4" w:color="D6DEE7"/>
          <w:right w:val="single" w:sz="4" w:color="D6DEE7"/>
          <w:insideH w:val="single" w:sz="4" w:color="D6DEE7"/>
          <w:insideV w:val="single" w:sz="4" w:color="D6DEE7"/>
        </w:tblBorders>
        <w:tblInd w:type="dxa" w:w="120"/>
      </w:tblPr>
      <w:tblGrid>
        <w:gridCol w:w="2850"/>
        <w:gridCol w:w="6510"/>
      </w:tblGrid>
      <w:tr>
        <w:trPr>
          <w:tblHeader/>
          <w:cantSplit/>
        </w:trPr>
        <w:tc>
          <w:tcPr>
            <w:tcW w:type="dxa" w:w="2850"/>
            <w:shd w:fill="F2F4F7"/>
            <w:vAlign w:val="center"/>
            <w:tcMar>
              <w:top w:w="80" w:type="dxa"/>
              <w:bottom w:w="80" w:type="dxa"/>
              <w:start w:w="120" w:type="dxa"/>
              <w:end w:w="120" w:type="dxa"/>
            </w:tcMar>
          </w:tcPr>
          <w:p>
            <w:pPr>
              <w:pStyle w:val="TableText"/>
            </w:pPr>
            <w:r>
              <w:rPr>
                <w:b/>
              </w:rPr>
              <w:t>Öncelik</w:t>
            </w:r>
          </w:p>
        </w:tc>
        <w:tc>
          <w:tcPr>
            <w:tcW w:type="dxa" w:w="6510"/>
            <w:shd w:fill="F2F4F7"/>
            <w:vAlign w:val="center"/>
            <w:tcMar>
              <w:top w:w="80" w:type="dxa"/>
              <w:bottom w:w="80" w:type="dxa"/>
              <w:start w:w="120" w:type="dxa"/>
              <w:end w:w="120" w:type="dxa"/>
            </w:tcMar>
          </w:tcPr>
          <w:p>
            <w:pPr>
              <w:pStyle w:val="TableText"/>
            </w:pPr>
            <w:r>
              <w:rPr>
                <w:b/>
              </w:rPr>
              <w:t>Kapanacak iş</w:t>
            </w:r>
          </w:p>
        </w:tc>
      </w:tr>
      <w:tr>
        <w:trPr>
          <w:cantSplit/>
        </w:trPr>
        <w:tc>
          <w:tcPr>
            <w:tcW w:type="dxa" w:w="2850"/>
            <w:vAlign w:val="center"/>
            <w:tcMar>
              <w:top w:w="80" w:type="dxa"/>
              <w:bottom w:w="80" w:type="dxa"/>
              <w:start w:w="120" w:type="dxa"/>
              <w:end w:w="120" w:type="dxa"/>
            </w:tcMar>
          </w:tcPr>
          <w:p>
            <w:pPr>
              <w:pStyle w:val="TableText"/>
            </w:pPr>
            <w:r>
              <w:t>Şimdi</w:t>
            </w:r>
          </w:p>
        </w:tc>
        <w:tc>
          <w:tcPr>
            <w:tcW w:type="dxa" w:w="6510"/>
            <w:vAlign w:val="center"/>
            <w:tcMar>
              <w:top w:w="80" w:type="dxa"/>
              <w:bottom w:w="80" w:type="dxa"/>
              <w:start w:w="120" w:type="dxa"/>
              <w:end w:w="120" w:type="dxa"/>
            </w:tcMar>
          </w:tcPr>
          <w:p>
            <w:pPr>
              <w:pStyle w:val="TableText"/>
            </w:pPr>
            <w:r>
              <w:t>Yerel BDDK indiricisini çalıştır; ZIP'i yükle; ilk olarak Ağustos 2025'i karşılaştır.</w:t>
            </w:r>
          </w:p>
        </w:tc>
      </w:tr>
      <w:tr>
        <w:trPr>
          <w:cantSplit/>
        </w:trPr>
        <w:tc>
          <w:tcPr>
            <w:tcW w:type="dxa" w:w="2850"/>
            <w:vAlign w:val="center"/>
            <w:tcMar>
              <w:top w:w="80" w:type="dxa"/>
              <w:bottom w:w="80" w:type="dxa"/>
              <w:start w:w="120" w:type="dxa"/>
              <w:end w:w="120" w:type="dxa"/>
            </w:tcMar>
          </w:tcPr>
          <w:p>
            <w:pPr>
              <w:pStyle w:val="TableText"/>
            </w:pPr>
            <w:r>
              <w:t>Sonraki entegrasyon</w:t>
            </w:r>
          </w:p>
        </w:tc>
        <w:tc>
          <w:tcPr>
            <w:tcW w:type="dxa" w:w="6510"/>
            <w:vAlign w:val="center"/>
            <w:tcMar>
              <w:top w:w="80" w:type="dxa"/>
              <w:bottom w:w="80" w:type="dxa"/>
              <w:start w:w="120" w:type="dxa"/>
              <w:end w:w="120" w:type="dxa"/>
            </w:tcMar>
          </w:tcPr>
          <w:p>
            <w:pPr>
              <w:pStyle w:val="TableText"/>
            </w:pPr>
            <w:r>
              <w:t>Başarılı BDDK yanıtında dönem, tablo, birim ve grubu export metaverisiyle doğrula.</w:t>
            </w:r>
          </w:p>
        </w:tc>
      </w:tr>
      <w:tr>
        <w:trPr>
          <w:cantSplit/>
        </w:trPr>
        <w:tc>
          <w:tcPr>
            <w:tcW w:type="dxa" w:w="2850"/>
            <w:vAlign w:val="center"/>
            <w:tcMar>
              <w:top w:w="80" w:type="dxa"/>
              <w:bottom w:w="80" w:type="dxa"/>
              <w:start w:w="120" w:type="dxa"/>
              <w:end w:w="120" w:type="dxa"/>
            </w:tcMar>
          </w:tcPr>
          <w:p>
            <w:pPr>
              <w:pStyle w:val="TableText"/>
            </w:pPr>
            <w:r>
              <w:t>Veri kapsamı</w:t>
            </w:r>
          </w:p>
        </w:tc>
        <w:tc>
          <w:tcPr>
            <w:tcW w:type="dxa" w:w="6510"/>
            <w:vAlign w:val="center"/>
            <w:tcMar>
              <w:top w:w="80" w:type="dxa"/>
              <w:bottom w:w="80" w:type="dxa"/>
              <w:start w:w="120" w:type="dxa"/>
              <w:end w:w="120" w:type="dxa"/>
            </w:tcMar>
          </w:tcPr>
          <w:p>
            <w:pPr>
              <w:pStyle w:val="TableText"/>
            </w:pPr>
            <w:r>
              <w:t>Haftalık BDDK ve çeyreklik FinTürk için aynı kayıt/kalite yaklaşımını kur. EVDS zorunlu listesini netleştir.</w:t>
            </w:r>
          </w:p>
        </w:tc>
      </w:tr>
      <w:tr>
        <w:trPr>
          <w:cantSplit/>
        </w:trPr>
        <w:tc>
          <w:tcPr>
            <w:tcW w:type="dxa" w:w="2850"/>
            <w:vAlign w:val="center"/>
            <w:tcMar>
              <w:top w:w="80" w:type="dxa"/>
              <w:bottom w:w="80" w:type="dxa"/>
              <w:start w:w="120" w:type="dxa"/>
              <w:end w:w="120" w:type="dxa"/>
            </w:tcMar>
          </w:tcPr>
          <w:p>
            <w:pPr>
              <w:pStyle w:val="TableText"/>
            </w:pPr>
            <w:r>
              <w:t>Model bağlantısı</w:t>
            </w:r>
          </w:p>
        </w:tc>
        <w:tc>
          <w:tcPr>
            <w:tcW w:type="dxa" w:w="6510"/>
            <w:vAlign w:val="center"/>
            <w:tcMar>
              <w:top w:w="80" w:type="dxa"/>
              <w:bottom w:w="80" w:type="dxa"/>
              <w:start w:w="120" w:type="dxa"/>
              <w:end w:w="120" w:type="dxa"/>
            </w:tcMar>
          </w:tcPr>
          <w:p>
            <w:pPr>
              <w:pStyle w:val="TableText"/>
            </w:pPr>
            <w:r>
              <w:t>Sağlanan modelde gerçek tool/JSON, hata, süre ve Türkçe şema davranışını ölç.</w:t>
            </w:r>
          </w:p>
        </w:tc>
      </w:tr>
      <w:tr>
        <w:trPr>
          <w:cantSplit/>
        </w:trPr>
        <w:tc>
          <w:tcPr>
            <w:tcW w:type="dxa" w:w="2850"/>
            <w:vAlign w:val="center"/>
            <w:tcMar>
              <w:top w:w="80" w:type="dxa"/>
              <w:bottom w:w="80" w:type="dxa"/>
              <w:start w:w="120" w:type="dxa"/>
              <w:end w:w="120" w:type="dxa"/>
            </w:tcMar>
          </w:tcPr>
          <w:p>
            <w:pPr>
              <w:pStyle w:val="TableText"/>
            </w:pPr>
            <w:r>
              <w:t>Ürün kanıtı</w:t>
            </w:r>
          </w:p>
        </w:tc>
        <w:tc>
          <w:tcPr>
            <w:tcW w:type="dxa" w:w="6510"/>
            <w:vAlign w:val="center"/>
            <w:tcMar>
              <w:top w:w="80" w:type="dxa"/>
              <w:bottom w:w="80" w:type="dxa"/>
              <w:start w:w="120" w:type="dxa"/>
              <w:end w:w="120" w:type="dxa"/>
            </w:tcMar>
          </w:tcPr>
          <w:p>
            <w:pPr>
              <w:pStyle w:val="TableText"/>
            </w:pPr>
            <w:r>
              <w:t>Aynı tablo üzerinde ekleme, reel dönüşüm, filtre, geri alma ve kaynak açıklamasını göster.</w:t>
            </w:r>
          </w:p>
        </w:tc>
      </w:tr>
      <w:tr>
        <w:trPr>
          <w:cantSplit/>
        </w:trPr>
        <w:tc>
          <w:tcPr>
            <w:tcW w:type="dxa" w:w="2850"/>
            <w:vAlign w:val="center"/>
            <w:tcMar>
              <w:top w:w="80" w:type="dxa"/>
              <w:bottom w:w="80" w:type="dxa"/>
              <w:start w:w="120" w:type="dxa"/>
              <w:end w:w="120" w:type="dxa"/>
            </w:tcMar>
          </w:tcPr>
          <w:p>
            <w:pPr>
              <w:pStyle w:val="TableText"/>
            </w:pPr>
            <w:r>
              <w:t>Son kabul</w:t>
            </w:r>
          </w:p>
        </w:tc>
        <w:tc>
          <w:tcPr>
            <w:tcW w:type="dxa" w:w="6510"/>
            <w:vAlign w:val="center"/>
            <w:tcMar>
              <w:top w:w="80" w:type="dxa"/>
              <w:bottom w:w="80" w:type="dxa"/>
              <w:start w:w="120" w:type="dxa"/>
              <w:end w:w="120" w:type="dxa"/>
            </w:tcMar>
          </w:tcPr>
          <w:p>
            <w:pPr>
              <w:pStyle w:val="TableText"/>
            </w:pPr>
            <w:r>
              <w:t>Görülmemiş dosya ve saklı sorular; temiz kurulum; başarısız senaryoların açık raporu.</w:t>
            </w:r>
          </w:p>
        </w:tc>
      </w:tr>
    </w:tbl>
    <w:p>
      <w:pPr>
        <w:pStyle w:val="TableCitation"/>
      </w:pPr>
      <w:r/>
    </w:p>
    <w:p>
      <w:r/>
      <w:r>
        <w:rPr>
          <w:b/>
        </w:rPr>
        <w:t>Kapanmayan sınırlar:</w:t>
      </w:r>
      <w:r>
        <w:t xml:space="preserve"> BDDK doğrudan indirmesi, tam EVDS gözlem kapsamı, kredi satırlarında TGA/reeskontun eksiksiz hesap eşlemesi, bütün bölgesel/tarihsel gözlemlerin ikinci yayın kontrolü ve yarışma modelinin gerçek performansı. TCMB aylık metaverisi yurt içi şube ve TL karşılığı kapsamı destekler; bütün satırlara aynı TGA yorumu otomatik taşınamaz. </w:t>
      </w:r>
      <w:hyperlink r:id="rId23">
        <w:r>
          <w:rPr>
            <w:color w:val="2E74B5"/>
          </w:rPr>
          <w:t>TCMB aylık para/banka metaverisi, 29 Kasım 2024</w:t>
        </w:r>
      </w:hyperlink>
      <w:r>
        <w:t>.</w:t>
      </w:r>
    </w:p>
    <w:p>
      <w:r>
        <w:t>Notebook'un sekiz kod hücresi Python'da sırayla çalıştırıldı ve gerçek çıktıları kaydedildi. Ortam TCP/IPC bağlantısını kısıtladığından Jupyter çekirdeği üzerinden Run All burada doğrulanamadı. Son veri kontrolleri 15/15 geçti; bu sonuç uygulamanın veya LLM'in uçtan uca hazır olduğu anlamına gelmez.</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7 Eylül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KKB HACKATHON  /  VERİ DENETİMİ VE BDDK ERİŞİMİ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720" w:hanging="360"/>
        <w:tabs>
          <w:tab w:val="num" w:pos="720"/>
        </w:tabs>
      </w:pPr>
    </w:lvl>
  </w:abstractNum>
  <w:abstractNum w:abstractNumId="1">
    <w:nsid w:val="FFFFFF7D"/>
    <w:multiLevelType w:val="singleLevel"/>
    <w:tmpl w:val="E4089024"/>
    <w:lvl w:ilvl="0">
      <w:start w:val="1"/>
      <w:numFmt w:val="decimal"/>
      <w:lvlText w:val="%1."/>
      <w:lvlJc w:val="left"/>
      <w:pPr>
        <w:tabs>
          <w:tab w:val="num" w:pos="1440"/>
        </w:tabs>
        <w:ind w:left="720" w:hanging="360"/>
        <w:tabs>
          <w:tab w:val="num" w:pos="720"/>
        </w:tabs>
      </w:pPr>
    </w:lvl>
  </w:abstractNum>
  <w:abstractNum w:abstractNumId="2">
    <w:nsid w:val="FFFFFF7E"/>
    <w:multiLevelType w:val="singleLevel"/>
    <w:tmpl w:val="FB12693A"/>
    <w:lvl w:ilvl="0">
      <w:start w:val="1"/>
      <w:numFmt w:val="decimal"/>
      <w:pStyle w:val="ListNumber3"/>
      <w:lvlText w:val="%1."/>
      <w:lvlJc w:val="left"/>
      <w:pPr>
        <w:tabs>
          <w:tab w:val="num" w:pos="1080"/>
        </w:tabs>
        <w:ind w:left="720" w:hanging="360"/>
        <w:tabs>
          <w:tab w:val="num" w:pos="720"/>
        </w:tabs>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tabs>
          <w:tab w:val="num" w:pos="720"/>
        </w:tabs>
      </w:pPr>
    </w:lvl>
  </w:abstractNum>
  <w:abstractNum w:abstractNumId="4">
    <w:nsid w:val="FFFFFF81"/>
    <w:multiLevelType w:val="singleLevel"/>
    <w:tmpl w:val="171AC3A4"/>
    <w:lvl w:ilvl="0">
      <w:start w:val="1"/>
      <w:numFmt w:val="bullet"/>
      <w:lvlText w:val=""/>
      <w:lvlJc w:val="left"/>
      <w:pPr>
        <w:tabs>
          <w:tab w:val="num" w:pos="1440"/>
        </w:tabs>
        <w:ind w:left="720" w:hanging="360"/>
        <w:tabs>
          <w:tab w:val="num" w:pos="720"/>
        </w:tabs>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720" w:hanging="360"/>
        <w:tabs>
          <w:tab w:val="num" w:pos="720"/>
        </w:tabs>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tabs>
          <w:tab w:val="num" w:pos="720"/>
        </w:tabs>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720" w:hanging="360"/>
        <w:tabs>
          <w:tab w:val="num" w:pos="720"/>
        </w:tabs>
      </w:pPr>
    </w:lvl>
  </w:abstractNum>
  <w:abstractNum w:abstractNumId="8">
    <w:nsid w:val="FFFFFF89"/>
    <w:multiLevelType w:val="singleLevel"/>
    <w:tmpl w:val="29761A62"/>
    <w:lvl w:ilvl="0">
      <w:start w:val="1"/>
      <w:numFmt w:val="bullet"/>
      <w:pStyle w:val="ListBullet"/>
      <w:lvlText w:val=""/>
      <w:lvlJc w:val="left"/>
      <w:pPr>
        <w:tabs>
          <w:tab w:val="num" w:pos="360"/>
        </w:tabs>
        <w:ind w:left="720" w:hanging="360"/>
        <w:tabs>
          <w:tab w:val="num" w:pos="720"/>
        </w:tabs>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b w:val="0"/>
      <w:color w:val="222222"/>
      <w:sz w:val="22"/>
    </w:rPr>
  </w:style>
  <w:style w:type="paragraph" w:styleId="Header">
    <w:name w:val="header"/>
    <w:basedOn w:val="Normal"/>
    <w:link w:val="HeaderChar"/>
    <w:uiPriority w:val="99"/>
    <w:unhideWhenUsed/>
    <w:rsid w:val="00E618BF"/>
    <w:pPr>
      <w:widowControl/>
      <w:tabs>
        <w:tab w:val="center" w:pos="4680"/>
        <w:tab w:val="right" w:pos="9360"/>
      </w:tabs>
      <w:spacing w:after="0" w:line="264" w:lineRule="auto" w:before="0"/>
    </w:pPr>
    <w:rPr>
      <w:rFonts w:ascii="Calibri" w:hAnsi="Calibri"/>
      <w:b w:val="0"/>
      <w:color w:val="596675"/>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64" w:lineRule="auto" w:before="0"/>
    </w:pPr>
    <w:rPr>
      <w:rFonts w:ascii="Calibri" w:hAnsi="Calibri"/>
      <w:b w:val="0"/>
      <w:color w:val="596675"/>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60" w:line="264" w:lineRule="auto" w:before="0"/>
      <w:contextualSpacing/>
    </w:pPr>
    <w:rPr>
      <w:rFonts w:asciiTheme="majorHAnsi" w:eastAsiaTheme="majorEastAsia" w:hAnsiTheme="majorHAnsi" w:cstheme="majorBidi" w:ascii="Calibri" w:hAnsi="Calibr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00" w:line="264" w:lineRule="auto"/>
    </w:pPr>
    <w:rPr>
      <w:rFonts w:asciiTheme="majorHAnsi" w:eastAsiaTheme="majorEastAsia" w:hAnsiTheme="majorHAnsi" w:cstheme="majorBidi" w:ascii="Calibri" w:hAnsi="Calibri"/>
      <w:b w:val="0"/>
      <w:i/>
      <w:iCs/>
      <w:color w:val="59667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160" w:line="280" w:lineRule="auto"/>
      <w:ind w:left="720" w:hanging="360"/>
      <w:contextualSpacing/>
    </w:pPr>
    <w:rPr>
      <w:rFonts w:ascii="Calibri" w:hAnsi="Calibri"/>
      <w:b w:val="0"/>
      <w:color w:val="222222"/>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160" w:line="280" w:lineRule="auto"/>
      <w:ind w:left="720" w:hanging="360"/>
      <w:contextualSpacing/>
    </w:pPr>
    <w:rPr>
      <w:rFonts w:ascii="Calibri" w:hAnsi="Calibri"/>
      <w:b w:val="0"/>
      <w:color w:val="222222"/>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widowControl/>
      <w:spacing w:before="0" w:after="80" w:line="264" w:lineRule="auto"/>
    </w:pPr>
    <w:rPr>
      <w:rFonts w:ascii="Calibri" w:hAnsi="Calibri"/>
      <w:b w:val="0"/>
      <w:color w:val="222222"/>
      <w:sz w:val="20"/>
    </w:rPr>
  </w:style>
  <w:style w:type="paragraph" w:customStyle="1" w:styleId="Source">
    <w:name w:val="Source"/>
    <w:pPr>
      <w:widowControl/>
      <w:spacing w:before="0" w:after="100" w:line="264" w:lineRule="auto"/>
    </w:pPr>
    <w:rPr>
      <w:rFonts w:ascii="Calibri" w:hAnsi="Calibri"/>
      <w:b w:val="0"/>
      <w:color w:val="596675"/>
      <w:sz w:val="18"/>
    </w:rPr>
  </w:style>
  <w:style w:type="paragraph" w:customStyle="1" w:styleId="TableCitation">
    <w:name w:val="Table Citation"/>
    <w:pPr>
      <w:widowControl/>
      <w:spacing w:before="80" w:after="80" w:line="264" w:lineRule="auto"/>
    </w:pPr>
    <w:rPr>
      <w:rFonts w:ascii="Calibri" w:hAnsi="Calibri"/>
      <w:b w:val="0"/>
      <w:color w:val="596675"/>
      <w:sz w:val="18"/>
    </w:rPr>
  </w:style>
  <w:style w:type="paragraph" w:customStyle="1" w:styleId="Code">
    <w:name w:val="Code"/>
    <w:pPr>
      <w:widowControl/>
      <w:spacing w:before="0" w:after="120" w:line="264" w:lineRule="auto"/>
    </w:pPr>
    <w:rPr>
      <w:rFonts w:ascii="Consolas" w:hAnsi="Consolas"/>
      <w:b w:val="0"/>
      <w:color w:val="1F4D7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obakis/rbrsa/blob/main/R/fetch_bddk.R" TargetMode="External"/><Relationship Id="rId12" Type="http://schemas.openxmlformats.org/officeDocument/2006/relationships/hyperlink" Target="https://github.com/obakis/rbrsa/blob/main/R/utils.R" TargetMode="External"/><Relationship Id="rId13" Type="http://schemas.openxmlformats.org/officeDocument/2006/relationships/hyperlink" Target="https://evds3.tcmb.gov.tr/tumSeriler" TargetMode="External"/><Relationship Id="rId14" Type="http://schemas.openxmlformats.org/officeDocument/2006/relationships/hyperlink" Target="https://ms.hmb.gov.tr/uploads/2026/09/ekonomikgosterge03092026_yeniversiyon-03716e187538ba9f.pdf" TargetMode="External"/><Relationship Id="rId15" Type="http://schemas.openxmlformats.org/officeDocument/2006/relationships/hyperlink" Target="https://veriportali.tuik.gov.tr/Bulten/Index?dil=1&amp;p=Konut-ve-%C4%B0%C5%9F-Yeri-Sat%C4%B1%C5%9F-%C4%B0statistikleri-Haziran-2026-58344" TargetMode="External"/><Relationship Id="rId16" Type="http://schemas.openxmlformats.org/officeDocument/2006/relationships/hyperlink" Target="https://www.tcmb.gov.tr/wps/wcm/connect/TR/TCMB%2BTR/PPK/PPK%2BToplanti%2BOzetleri/DUY2026-05" TargetMode="External"/><Relationship Id="rId17" Type="http://schemas.openxmlformats.org/officeDocument/2006/relationships/hyperlink" Target="https://www.tcmb.gov.tr/wps/wcm/connect/TR/TCMB%2BTR/Main%2BMenu/Duyurular/Basin/2026/DUY2026-24" TargetMode="External"/><Relationship Id="rId18" Type="http://schemas.openxmlformats.org/officeDocument/2006/relationships/hyperlink" Target="https://www.tbb.org.tr/istatistiki-raporlar/2025-yillik-tuketici-kredileri-ve-konut-kredileri" TargetMode="External"/><Relationship Id="rId19" Type="http://schemas.openxmlformats.org/officeDocument/2006/relationships/hyperlink" Target="https://www.tbb.org.tr/download/node/54769/field_raporlar_ekler/308093" TargetMode="External"/><Relationship Id="rId20" Type="http://schemas.openxmlformats.org/officeDocument/2006/relationships/hyperlink" Target="https://arxiv.org/abs/2411.07763" TargetMode="External"/><Relationship Id="rId21" Type="http://schemas.openxmlformats.org/officeDocument/2006/relationships/hyperlink" Target="https://duckdb.org/docs/current/operations_manual/securing_duckdb/overview" TargetMode="External"/><Relationship Id="rId22" Type="http://schemas.openxmlformats.org/officeDocument/2006/relationships/hyperlink" Target="https://otexts.com/fpp3/tscv.html" TargetMode="External"/><Relationship Id="rId23" Type="http://schemas.openxmlformats.org/officeDocument/2006/relationships/hyperlink" Target="https://www.tcmb.gov.tr/wps/wcm/connect/f3ad1a37-6d59-4a0b-b0d7-09b51cd7a73f/MetaveriAPB%C4%B02018.pdf?MOD=AJPE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BDDK erişimi ve veri denetimi — KKB hackathonu</dc:title>
  <dc:subject>Kaynak denetimi, BDDK 502 teşhisi, ek veri ve eğitim kararı</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