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4C2CCD" w14:textId="65453D58" w:rsidR="00D82952" w:rsidRPr="00D82952" w:rsidRDefault="00D82952" w:rsidP="00D82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Yep—there’s a solid (and growing) body of ABM work where farmer-agents choose crops subject to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rotation rules/penalties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and market/weather constraints. Here are good exemplars (what they model, how rotation enters, scale, and what they evaluate), plus the main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methods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and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patterns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you can borrow.</w:t>
      </w:r>
    </w:p>
    <w:p w14:paraId="675F9BDF" w14:textId="77777777" w:rsidR="00D82952" w:rsidRPr="00D82952" w:rsidRDefault="00D82952" w:rsidP="00D82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Concrete ABM studies that include crop-rotation decisions</w:t>
      </w:r>
    </w:p>
    <w:p w14:paraId="59EBAD53" w14:textId="77777777" w:rsidR="00D82952" w:rsidRPr="00D82952" w:rsidRDefault="00D82952" w:rsidP="00D82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Ding et al. (2015), </w:t>
      </w:r>
      <w:r w:rsidRPr="00D8295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14:ligatures w14:val="none"/>
        </w:rPr>
        <w:t>Land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— U.S. Corn Belt testbeds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D8295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What they did: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farmer-agents pick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crop type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(e.g., corn vs. soy/biofuel crops) and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fertilizer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each year to maximize profit under market scenarios.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D8295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Rotation in the model: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implemented via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profit expectations/constraints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so that repeated corn (or switching) reflects agronomic/market tradeoffs; outputs include land-use shares and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number of continuous corn/soy years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(i.e., rotation streaks).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D8295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Why it’s useful: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they run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price scenarios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(commodity &amp; biofuel) and show how relative prices push agents toward more continuous corn vs. corn–soy rotation patterns. (</w:t>
      </w:r>
      <w:hyperlink r:id="rId5" w:tooltip="Investigating Impacts of Alternative Crop Market Scenarios ..." w:history="1">
        <w:r w:rsidRPr="00D829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14:ligatures w14:val="none"/>
          </w:rPr>
          <w:t>MDPI</w:t>
        </w:r>
      </w:hyperlink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416537E6" w14:textId="77777777" w:rsidR="00D82952" w:rsidRPr="00D82952" w:rsidRDefault="00D82952" w:rsidP="00D82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Ng et al. (2011), </w:t>
      </w:r>
      <w:r w:rsidRPr="00D8295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14:ligatures w14:val="none"/>
        </w:rPr>
        <w:t>Water Resources Research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— ABM linked to hydro-agronomic model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D8295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What they did: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simulate farmer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crop/BMP choices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with learning &amp; interaction; couple to a watershed model to track water outcomes.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D8295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Rotation in the model: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crop choice is annual at field scale; rotation feasibility enters via yield/management rules (BMP adoption interacts with crop sequences).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D8295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Why it’s useful: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shows how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agent learning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and peer interaction shift crop choices/rotations and propagate to hydrologic outcomes. (</w:t>
      </w:r>
      <w:hyperlink r:id="rId6" w:tooltip="An agent‐based model of farmer decision‐making and water ..." w:history="1">
        <w:r w:rsidRPr="00D829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14:ligatures w14:val="none"/>
          </w:rPr>
          <w:t>AGU Publications</w:t>
        </w:r>
      </w:hyperlink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631E37DD" w14:textId="77777777" w:rsidR="00D82952" w:rsidRPr="00D82952" w:rsidRDefault="00D82952" w:rsidP="00D82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Marvuglia</w:t>
      </w:r>
      <w:proofErr w:type="spellEnd"/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et al. (2022), </w:t>
      </w:r>
      <w:r w:rsidRPr="00D8295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14:ligatures w14:val="none"/>
        </w:rPr>
        <w:t>Journal of Cleaner Production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— ABM + LCA of cropping systems (Luxembourg)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D8295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What they did: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coupled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ABM–LCA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where farmers select crop plans subject to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rotation constraints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and policy incentives; evaluate environmental footprints.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D8295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Why it’s useful: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illustrates multi-objective assessments (economics +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environmental impacts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) of rotation strategies at regional scale. (</w:t>
      </w:r>
      <w:hyperlink r:id="rId7" w:tooltip="Agent-based modelling to simulate farmers' sustainable ..." w:history="1">
        <w:r w:rsidRPr="00D829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14:ligatures w14:val="none"/>
          </w:rPr>
          <w:t>ScienceDirect</w:t>
        </w:r>
      </w:hyperlink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1951F3CD" w14:textId="77777777" w:rsidR="00D82952" w:rsidRPr="00D82952" w:rsidRDefault="00D82952" w:rsidP="00D82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Shahpari</w:t>
      </w:r>
      <w:proofErr w:type="spellEnd"/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et al. (2024), </w:t>
      </w:r>
      <w:r w:rsidRPr="00D8295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14:ligatures w14:val="none"/>
        </w:rPr>
        <w:t>Applied Spatial Analysis and Policy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— ABM for agricultural land-use planning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D8295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What they did: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integrate farmer decision rules (crop/land allocation) with planning; rotation constraints appear in feasible cropping schedules and adoption paths.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D8295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Why it’s useful: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demonstrates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policy/land-use planning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experiments where rotation feasibility materially shapes emergent land-use patterns. (</w:t>
      </w:r>
      <w:hyperlink r:id="rId8" w:tooltip="an Agent-Based Modelling Approach to Agricultural Land ..." w:history="1">
        <w:r w:rsidRPr="00D829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14:ligatures w14:val="none"/>
          </w:rPr>
          <w:t>SpringerLink</w:t>
        </w:r>
      </w:hyperlink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7802C321" w14:textId="77777777" w:rsidR="00D82952" w:rsidRPr="00D82952" w:rsidRDefault="00D82952" w:rsidP="00D82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Murray-Rust et al. (2014), </w:t>
      </w:r>
      <w:r w:rsidRPr="00D8295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14:ligatures w14:val="none"/>
        </w:rPr>
        <w:t>Environmental Modelling &amp; Software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— open ABM framework for land use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D8295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What they did: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provide an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ABM framework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that explicitly handles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rotation feasibility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, agronomic rules, and spatial interactions when simulating land-use change.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D8295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Why it’s useful: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ready architecture to encode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rotation matrices/penalties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and plug in your Midwestern data. (</w:t>
      </w:r>
      <w:hyperlink r:id="rId9" w:tooltip="An open framework for agent based modelling of ..." w:history="1">
        <w:r w:rsidRPr="00D829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14:ligatures w14:val="none"/>
          </w:rPr>
          <w:t>ScienceDirect</w:t>
        </w:r>
      </w:hyperlink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1D04CA04" w14:textId="77777777" w:rsidR="00D82952" w:rsidRPr="00D82952" w:rsidRDefault="00D82952" w:rsidP="00D82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MP-MAS platform (Berger et al., 2011, </w:t>
      </w:r>
      <w:r w:rsidRPr="00D8295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14:ligatures w14:val="none"/>
        </w:rPr>
        <w:t>Environmental Modelling &amp; Software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)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D8295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What it did: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 mathematical-programming–based ABM where each farmer solves a seasonal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profit-maximization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with agronomic constraints (including rotations) under uncertainty; widely applied to cropping-system choices.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D8295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Why it’s useful: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if you want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farm-level optimization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+ agent heterogeneity with explicit rotation constraints, this is battle-tested. (</w:t>
      </w:r>
      <w:hyperlink r:id="rId10" w:tooltip="(PDF) An agent-based simulation model of human- ..." w:history="1">
        <w:r w:rsidRPr="00D829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14:ligatures w14:val="none"/>
          </w:rPr>
          <w:t>ResearchGate</w:t>
        </w:r>
      </w:hyperlink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5BC6CD33" w14:textId="77777777" w:rsidR="00D82952" w:rsidRPr="00D82952" w:rsidRDefault="00D82952" w:rsidP="00D82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lastRenderedPageBreak/>
        <w:t xml:space="preserve">Harik et al. (2023), </w:t>
      </w:r>
      <w:r w:rsidRPr="00D8295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14:ligatures w14:val="none"/>
        </w:rPr>
        <w:t>Journal of Environmental Management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— socio-economic ABM of future farming practices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D8295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What they did: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probabilistic ABM where agents adopt farming practices and crop systems influenced by economics/social factors; rotation feasibility embedded in practice sets.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D8295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Why it’s useful: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shows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adoption diffusion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and heterogeneity layered on agronomic feasibility (including rotations). (</w:t>
      </w:r>
      <w:hyperlink r:id="rId11" w:tooltip="An integrated socio-economic agent-based modeling ..." w:history="1">
        <w:r w:rsidRPr="00D829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14:ligatures w14:val="none"/>
          </w:rPr>
          <w:t>ScienceDirect</w:t>
        </w:r>
      </w:hyperlink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74BAFDE2" w14:textId="77777777" w:rsidR="00D82952" w:rsidRPr="00D82952" w:rsidRDefault="00D82952" w:rsidP="00D829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Closely related (not pure ABM but immediately useful):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•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Dynamic </w:t>
      </w:r>
      <w:proofErr w:type="gramStart"/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discrete-choice</w:t>
      </w:r>
      <w:proofErr w:type="gramEnd"/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of corn/soy at field scale (Iowa)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with explicit rotation history/state dependence (great for calibrating ABM rules). (</w:t>
      </w:r>
      <w:proofErr w:type="spellStart"/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fldChar w:fldCharType="begin"/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instrText>HYPERLINK "https://ageconsearch.umn.edu/record/170366/?utm_source=chatgpt.com" \o "A Dynamic Model of Land Use in Iowa in Recent Years"</w:instrTex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fldChar w:fldCharType="separate"/>
      </w:r>
      <w:r w:rsidRPr="00D8295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14:ligatures w14:val="none"/>
        </w:rPr>
        <w:t>AgEcon</w:t>
      </w:r>
      <w:proofErr w:type="spellEnd"/>
      <w:r w:rsidRPr="00D8295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14:ligatures w14:val="none"/>
        </w:rPr>
        <w:t xml:space="preserve"> Search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fldChar w:fldCharType="end"/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•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Rotation planners/constraints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you can embed: </w:t>
      </w:r>
      <w:proofErr w:type="spellStart"/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CropRota</w:t>
      </w:r>
      <w:proofErr w:type="spellEnd"/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rotation generator; data-driven rotation matrices/pre-crop values. (</w:t>
      </w:r>
      <w:hyperlink r:id="rId12" w:tooltip="CropRota – A crop rotation model to support integrated ..." w:history="1">
        <w:r w:rsidRPr="00D829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14:ligatures w14:val="none"/>
          </w:rPr>
          <w:t>ResearchGate</w:t>
        </w:r>
      </w:hyperlink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44AAB792" w14:textId="77777777" w:rsidR="00D82952" w:rsidRPr="00D82952" w:rsidRDefault="00D82952" w:rsidP="00D82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Common modeling patterns for “rotation” in ABMs (what to copy)</w:t>
      </w:r>
    </w:p>
    <w:p w14:paraId="6451283D" w14:textId="77777777" w:rsidR="00D82952" w:rsidRPr="00D82952" w:rsidRDefault="00D82952" w:rsidP="00D829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Rotation as a state variable with yield effects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Track last-k crops per field; apply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yield bonuses/penalties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(e.g., corn-after-soy bonus; corn-after-corn penalty) and/or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cost adjustments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(N fertilizer, pest control). Encourages emergent alternation unless the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soy/corn relative price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is extreme. Used in Ng (2011), Ding (2015). (</w:t>
      </w:r>
      <w:hyperlink r:id="rId13" w:tooltip="An agent‐based model of farmer decision‐making and water ..." w:history="1">
        <w:r w:rsidRPr="00D829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14:ligatures w14:val="none"/>
          </w:rPr>
          <w:t>AGU Publications</w:t>
        </w:r>
      </w:hyperlink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1881A1F3" w14:textId="77777777" w:rsidR="00D82952" w:rsidRPr="00D82952" w:rsidRDefault="00D82952" w:rsidP="00D829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Rotation feasibility rules (hard constraints)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Forbid certain sequences (e.g., no &gt;N years continuous corn), or require minimum rest years for high-residue crops. Implemented in ABM frameworks like Murray-Rust (2014) and MP-MAS. (</w:t>
      </w:r>
      <w:hyperlink r:id="rId14" w:tooltip="An open framework for agent based modelling of ..." w:history="1">
        <w:r w:rsidRPr="00D829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14:ligatures w14:val="none"/>
          </w:rPr>
          <w:t>ScienceDirect</w:t>
        </w:r>
      </w:hyperlink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402EAF6F" w14:textId="77777777" w:rsidR="00D82952" w:rsidRPr="00D82952" w:rsidRDefault="00D82952" w:rsidP="00D829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Rotation as a mixed-integer choice in an economic program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Each agent solves a seasonal planning problem with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binary crop choices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and rotation constraints (adjacency/time). This yields profit-maximizing plans conditional on prices, weather, and policy; ABM ties many such agents together (MP-MAS; </w:t>
      </w:r>
      <w:proofErr w:type="spellStart"/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Marvuglia</w:t>
      </w:r>
      <w:proofErr w:type="spellEnd"/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2022). (</w:t>
      </w:r>
      <w:hyperlink r:id="rId15" w:tooltip="(PDF) An agent-based simulation model of human- ..." w:history="1">
        <w:r w:rsidRPr="00D829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14:ligatures w14:val="none"/>
          </w:rPr>
          <w:t>ResearchGate</w:t>
        </w:r>
      </w:hyperlink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5A0D0C17" w14:textId="77777777" w:rsidR="00D82952" w:rsidRPr="00D82952" w:rsidRDefault="00D82952" w:rsidP="00D829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Rotation preference heuristics + social diffusion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Simple rules like “default to corn–soy alternation unless price ratio exceeds threshold τ” +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peer effects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(neighbors’ choices shift τ). Harik (2023) uses probabilistic adoption; Ding (2015) elicits expectations from surveys. (</w:t>
      </w:r>
      <w:hyperlink r:id="rId16" w:tooltip="An integrated socio-economic agent-based modeling ..." w:history="1">
        <w:r w:rsidRPr="00D829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14:ligatures w14:val="none"/>
          </w:rPr>
          <w:t>ScienceDirect</w:t>
        </w:r>
      </w:hyperlink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4195B53B" w14:textId="77777777" w:rsidR="00D82952" w:rsidRPr="00D82952" w:rsidRDefault="00D82952" w:rsidP="00D829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Coupled ABM–biophysical assessment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Pipe agent crop choices into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hydrologic/crop models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to score water-quality, nutrient losses, carbon, or LCA footprints—useful for evaluating rotation policies beyond profit. (Ng 2011; </w:t>
      </w:r>
      <w:proofErr w:type="spellStart"/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Marvuglia</w:t>
      </w:r>
      <w:proofErr w:type="spellEnd"/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2022.) (</w:t>
      </w:r>
      <w:hyperlink r:id="rId17" w:tooltip="An agent‐based model of farmer decision‐making and water ..." w:history="1">
        <w:r w:rsidRPr="00D829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14:ligatures w14:val="none"/>
          </w:rPr>
          <w:t>AGU Publications</w:t>
        </w:r>
      </w:hyperlink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27568156" w14:textId="77777777" w:rsidR="00D82952" w:rsidRPr="00D82952" w:rsidRDefault="00D82952" w:rsidP="00D82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“Did anyone do exactly corn–soy rotation with ABM?”</w:t>
      </w:r>
    </w:p>
    <w:p w14:paraId="3CAC7F1C" w14:textId="77777777" w:rsidR="00D82952" w:rsidRPr="00D82952" w:rsidRDefault="00D82952" w:rsidP="00D82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Yes, but usually as part of broader crop-choice ABMs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where corn/soy are the dominant options and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rotation logic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(penalties/constraints) is explicit—see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Ding 2015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(tracks continuous-corn/soy streaks as an outcome),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Ng 2011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(crop choice with BMPs), 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and ABM frameworks (MP-MAS; Murray-Rust) that natively support rotation rules. (</w:t>
      </w:r>
      <w:hyperlink r:id="rId18" w:tooltip="Investigating Impacts of Alternative Crop Market Scenarios ..." w:history="1">
        <w:r w:rsidRPr="00D829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14:ligatures w14:val="none"/>
          </w:rPr>
          <w:t>MDPI</w:t>
        </w:r>
      </w:hyperlink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409517DC" w14:textId="77777777" w:rsidR="00D82952" w:rsidRPr="00D82952" w:rsidRDefault="00D82952" w:rsidP="00D82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For empirical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rotation data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to parameterize/calibrate your rules, the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USDA CDL/ARMS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rotation statistics and recent rotation mapping for the Midwest (1999–2018) are great anchors. (</w:t>
      </w:r>
      <w:hyperlink r:id="rId19" w:tooltip="Mapping twenty years of corn and soybean across the US ..." w:history="1">
        <w:r w:rsidRPr="00D829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14:ligatures w14:val="none"/>
          </w:rPr>
          <w:t>Nature</w:t>
        </w:r>
      </w:hyperlink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32C11FB9" w14:textId="77777777" w:rsidR="00D82952" w:rsidRPr="00D82952" w:rsidRDefault="00D82952" w:rsidP="00D82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How to evaluate the “price-ratio → next-year rotation/acreage” link in an ABM</w:t>
      </w:r>
    </w:p>
    <w:p w14:paraId="35EADD04" w14:textId="77777777" w:rsidR="00D82952" w:rsidRPr="00D82952" w:rsidRDefault="00D82952" w:rsidP="00D829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Design agents &amp; state</w:t>
      </w:r>
    </w:p>
    <w:p w14:paraId="0E2DB002" w14:textId="77777777" w:rsidR="00D82952" w:rsidRPr="00D82952" w:rsidRDefault="00D82952" w:rsidP="00D829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Field-level state includes last 2–3 crops; agent state includes risk preferences and cashflow.</w:t>
      </w:r>
    </w:p>
    <w:p w14:paraId="09C5F022" w14:textId="77777777" w:rsidR="00D82952" w:rsidRPr="00D82952" w:rsidRDefault="00D82952" w:rsidP="00D829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Yield model: implement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rotation response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(e.g., +7–10% corn-after-soy; −5–15% corn-after-corn) and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cost deltas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(N, pest control). Literature values or your APSIM runs can set these.</w:t>
      </w:r>
    </w:p>
    <w:p w14:paraId="0999ECB2" w14:textId="77777777" w:rsidR="00D82952" w:rsidRPr="00D82952" w:rsidRDefault="00D82952" w:rsidP="00D829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Decision rule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(pick one and test robustness):</w:t>
      </w:r>
    </w:p>
    <w:p w14:paraId="711A1FCF" w14:textId="77777777" w:rsidR="00D82952" w:rsidRPr="00D82952" w:rsidRDefault="00D82952" w:rsidP="00D829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Profit maximization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with rotation constraints (MP-MAS style).</w:t>
      </w:r>
    </w:p>
    <w:p w14:paraId="12433C6B" w14:textId="77777777" w:rsidR="00D82952" w:rsidRPr="00D82952" w:rsidRDefault="00D82952" w:rsidP="00D829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Heuristic threshold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plant soy if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(soy/corn price ratio) &gt; </w:t>
      </w:r>
      <w:proofErr w:type="spellStart"/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τ_i</w:t>
      </w:r>
      <w:proofErr w:type="spellEnd"/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else corn; </w:t>
      </w:r>
      <w:proofErr w:type="spellStart"/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τ_i</w:t>
      </w:r>
      <w:proofErr w:type="spellEnd"/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drawn from a distribution &amp; updated by learning/neighbor diffusion (Harik 2023).</w:t>
      </w:r>
    </w:p>
    <w:p w14:paraId="38717DDC" w14:textId="77777777" w:rsidR="00D82952" w:rsidRPr="00D82952" w:rsidRDefault="00D82952" w:rsidP="00D829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Reinforcement learning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(optional): agents learn crop choice policies balancing rotation benefits vs. price.</w:t>
      </w:r>
    </w:p>
    <w:p w14:paraId="74F6221B" w14:textId="77777777" w:rsidR="00D82952" w:rsidRPr="00D82952" w:rsidRDefault="00D82952" w:rsidP="00D829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Scenarios &amp; shocks</w:t>
      </w:r>
    </w:p>
    <w:p w14:paraId="21876710" w14:textId="77777777" w:rsidR="00D82952" w:rsidRPr="00D82952" w:rsidRDefault="00D82952" w:rsidP="00D829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Exogenous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November price ratio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paths (historical; counterfactual).</w:t>
      </w:r>
    </w:p>
    <w:p w14:paraId="62899106" w14:textId="77777777" w:rsidR="00D82952" w:rsidRPr="00D82952" w:rsidRDefault="00D82952" w:rsidP="00D829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Weather/yield shocks (</w:t>
      </w:r>
      <w:proofErr w:type="spellStart"/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Daymet</w:t>
      </w:r>
      <w:proofErr w:type="spellEnd"/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) and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input-price scenarios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to separate price-ratio effects from cost shocks.</w:t>
      </w:r>
    </w:p>
    <w:p w14:paraId="528D8692" w14:textId="77777777" w:rsidR="00D82952" w:rsidRPr="00D82952" w:rsidRDefault="00D82952" w:rsidP="00D829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Coupling (optional)</w:t>
      </w:r>
    </w:p>
    <w:p w14:paraId="1A705E64" w14:textId="77777777" w:rsidR="00D82952" w:rsidRPr="00D82952" w:rsidRDefault="00D82952" w:rsidP="00D829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Hydrology/N loss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(Ng 2011) or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LCA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</w:t>
      </w:r>
      <w:proofErr w:type="spellStart"/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Marvuglia</w:t>
      </w:r>
      <w:proofErr w:type="spellEnd"/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2022) to quantify environmental co-effects of rotation shifts.</w:t>
      </w:r>
    </w:p>
    <w:p w14:paraId="63E1E384" w14:textId="77777777" w:rsidR="00D82952" w:rsidRPr="00D82952" w:rsidRDefault="00D82952" w:rsidP="00D829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Calibration/validation</w:t>
      </w:r>
    </w:p>
    <w:p w14:paraId="6BE219D7" w14:textId="77777777" w:rsidR="00D82952" w:rsidRPr="00D82952" w:rsidRDefault="00D82952" w:rsidP="00D829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Calibrate </w:t>
      </w:r>
      <w:proofErr w:type="spellStart"/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τ_i</w:t>
      </w:r>
      <w:proofErr w:type="spellEnd"/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or rotation penalties to match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county/state rotation shares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(e.g., CDL-derived rotation maps) and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acreage splits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in IL/IA over 1999–2024.</w:t>
      </w:r>
    </w:p>
    <w:p w14:paraId="5C06339B" w14:textId="77777777" w:rsidR="00D82952" w:rsidRPr="00D82952" w:rsidRDefault="00D82952" w:rsidP="00D829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Validate out-of-sample years or counties; check that simulated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continuous-corn frequency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and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corn/soy shares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track observed trends.</w:t>
      </w:r>
    </w:p>
    <w:p w14:paraId="74F6ADBA" w14:textId="77777777" w:rsidR="00D82952" w:rsidRPr="00D82952" w:rsidRDefault="00D82952" w:rsidP="00D829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Evaluation metrics</w:t>
      </w:r>
    </w:p>
    <w:p w14:paraId="3673B268" w14:textId="77777777" w:rsidR="00D82952" w:rsidRPr="00D82952" w:rsidRDefault="00D82952" w:rsidP="00D829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Elasticities: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gramStart"/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∂(</w:t>
      </w:r>
      <w:proofErr w:type="gramEnd"/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corn share)/∂(price ratio) and vice-versa at state/county level.</w:t>
      </w:r>
    </w:p>
    <w:p w14:paraId="0F9000BF" w14:textId="77777777" w:rsidR="00D82952" w:rsidRPr="00D82952" w:rsidRDefault="00D82952" w:rsidP="00D829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Rotation outcomes: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distribution of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continuous-corn lengths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, corn-after-soy share, and yield impacts.</w:t>
      </w:r>
    </w:p>
    <w:p w14:paraId="2279655F" w14:textId="77777777" w:rsidR="00D82952" w:rsidRPr="00D82952" w:rsidRDefault="00D82952" w:rsidP="00D829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Goodness of fit: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RMSE to observed IL/IA corn/soy shares; K-S tests on rotation-streak distributions.</w:t>
      </w:r>
    </w:p>
    <w:p w14:paraId="2632BA04" w14:textId="77777777" w:rsidR="00D82952" w:rsidRPr="00D82952" w:rsidRDefault="00D82952" w:rsidP="00D829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Policy sensitivity: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how conservation incentives or ethanol shocks shift the rotation threshold τ and outcomes.</w:t>
      </w:r>
    </w:p>
    <w:p w14:paraId="0316F064" w14:textId="77777777" w:rsidR="00D82952" w:rsidRPr="00D82952" w:rsidRDefault="00D82952" w:rsidP="00D82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3F1B225">
          <v:rect id="_x0000_i1025" style="width:0;height:1.5pt" o:hralign="center" o:hrstd="t" o:hr="t" fillcolor="#a0a0a0" stroked="f"/>
        </w:pict>
      </w:r>
    </w:p>
    <w:p w14:paraId="2210E401" w14:textId="77777777" w:rsidR="00D82952" w:rsidRPr="00D82952" w:rsidRDefault="00D82952" w:rsidP="00D82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8295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Citations (selection)</w:t>
      </w:r>
    </w:p>
    <w:p w14:paraId="7D07AC44" w14:textId="77777777" w:rsidR="00D82952" w:rsidRPr="00D82952" w:rsidRDefault="00D82952" w:rsidP="00D829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 xml:space="preserve">Ding, D., et al. (2015). </w:t>
      </w:r>
      <w:r w:rsidRPr="00D8295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Investigating Impacts of Alternative Crop Market Scenarios on Land Use Change with an Agent-Based Model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Land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4(4):1110–1138. (</w:t>
      </w:r>
      <w:hyperlink r:id="rId20" w:tooltip="Investigating Impacts of Alternative Crop Market Scenarios ..." w:history="1">
        <w:r w:rsidRPr="00D829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14:ligatures w14:val="none"/>
          </w:rPr>
          <w:t>MDPI</w:t>
        </w:r>
      </w:hyperlink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2A689C7F" w14:textId="77777777" w:rsidR="00D82952" w:rsidRPr="00D82952" w:rsidRDefault="00D82952" w:rsidP="00D829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Ng, T. L., et al. (2011). </w:t>
      </w:r>
      <w:r w:rsidRPr="00D8295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An agent-based model of farmer decision-making and water quality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Water Resources Research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47(9). (</w:t>
      </w:r>
      <w:hyperlink r:id="rId21" w:tooltip="An agent‐based model of farmer decision‐making and water ..." w:history="1">
        <w:r w:rsidRPr="00D829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14:ligatures w14:val="none"/>
          </w:rPr>
          <w:t>AGU Publications</w:t>
        </w:r>
      </w:hyperlink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0A488E47" w14:textId="77777777" w:rsidR="00D82952" w:rsidRPr="00D82952" w:rsidRDefault="00D82952" w:rsidP="00D829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Marvuglia</w:t>
      </w:r>
      <w:proofErr w:type="spellEnd"/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A., et al. (2022). </w:t>
      </w:r>
      <w:r w:rsidRPr="00D8295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Agent-based modelling to simulate farmers’ sustainable cropping activities (ABM-LCA)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J. Cleaner Production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. (</w:t>
      </w:r>
      <w:hyperlink r:id="rId22" w:tooltip="Agent-based modelling to simulate farmers' sustainable ..." w:history="1">
        <w:r w:rsidRPr="00D829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14:ligatures w14:val="none"/>
          </w:rPr>
          <w:t>ScienceDirect</w:t>
        </w:r>
      </w:hyperlink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1C8700FA" w14:textId="77777777" w:rsidR="00D82952" w:rsidRPr="00D82952" w:rsidRDefault="00D82952" w:rsidP="00D829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Shahpari</w:t>
      </w:r>
      <w:proofErr w:type="spellEnd"/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S., et al. (2024). </w:t>
      </w:r>
      <w:r w:rsidRPr="00D8295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An Agent-Based Modelling Approach to Agricultural Land Use Planning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Applied Spatial Analysis and Policy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. (</w:t>
      </w:r>
      <w:hyperlink r:id="rId23" w:tooltip="an Agent-Based Modelling Approach to Agricultural Land ..." w:history="1">
        <w:r w:rsidRPr="00D829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14:ligatures w14:val="none"/>
          </w:rPr>
          <w:t>SpringerLink</w:t>
        </w:r>
      </w:hyperlink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023D3FBB" w14:textId="77777777" w:rsidR="00D82952" w:rsidRPr="00D82952" w:rsidRDefault="00D82952" w:rsidP="00D829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Murray-Rust, D., et al. (2014). </w:t>
      </w:r>
      <w:r w:rsidRPr="00D8295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An open framework for ABM of agricultural land use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Environmental Modelling &amp; Software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. (</w:t>
      </w:r>
      <w:hyperlink r:id="rId24" w:tooltip="An open framework for agent based modelling of ..." w:history="1">
        <w:r w:rsidRPr="00D829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14:ligatures w14:val="none"/>
          </w:rPr>
          <w:t>ScienceDirect</w:t>
        </w:r>
      </w:hyperlink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02C2924C" w14:textId="77777777" w:rsidR="00D82952" w:rsidRPr="00D82952" w:rsidRDefault="00D82952" w:rsidP="00D829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Berger, T., et al. (2011). </w:t>
      </w:r>
      <w:r w:rsidRPr="00D8295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MP-MAS: an agent-based platform for farm decision-making under constraints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Environmental Modelling &amp; Software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. (</w:t>
      </w:r>
      <w:hyperlink r:id="rId25" w:tooltip="(PDF) An agent-based simulation model of human- ..." w:history="1">
        <w:r w:rsidRPr="00D829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14:ligatures w14:val="none"/>
          </w:rPr>
          <w:t>ResearchGate</w:t>
        </w:r>
      </w:hyperlink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7D732B46" w14:textId="77777777" w:rsidR="00D82952" w:rsidRPr="00D82952" w:rsidRDefault="00D82952" w:rsidP="00D829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Ji, Y. (2014). </w:t>
      </w:r>
      <w:r w:rsidRPr="00D8295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A Dynamic Model of Land Use in Iowa in Recent Years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(dynamic discrete choice—useful for calibration alongside ABM). (</w:t>
      </w:r>
      <w:proofErr w:type="spellStart"/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fldChar w:fldCharType="begin"/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instrText>HYPERLINK "https://ageconsearch.umn.edu/record/170366/?utm_source=chatgpt.com" \o "A Dynamic Model of Land Use in Iowa in Recent Years"</w:instrTex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fldChar w:fldCharType="separate"/>
      </w:r>
      <w:r w:rsidRPr="00D8295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14:ligatures w14:val="none"/>
        </w:rPr>
        <w:t>AgEcon</w:t>
      </w:r>
      <w:proofErr w:type="spellEnd"/>
      <w:r w:rsidRPr="00D8295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14:ligatures w14:val="none"/>
        </w:rPr>
        <w:t xml:space="preserve"> Search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fldChar w:fldCharType="end"/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46502013" w14:textId="77777777" w:rsidR="00D82952" w:rsidRPr="00D82952" w:rsidRDefault="00D82952" w:rsidP="00D829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Wang, S., et al. (2020). </w:t>
      </w:r>
      <w:r w:rsidRPr="00D8295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Mapping twenty years of corn and soybean across the US Midwest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(rotation statistics; CDL-based),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Scientific Data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. (</w:t>
      </w:r>
      <w:hyperlink r:id="rId26" w:tooltip="Mapping twenty years of corn and soybean across the US ..." w:history="1">
        <w:r w:rsidRPr="00D829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14:ligatures w14:val="none"/>
          </w:rPr>
          <w:t>Nature</w:t>
        </w:r>
      </w:hyperlink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0AEB50A6" w14:textId="77777777" w:rsidR="00D82952" w:rsidRPr="00D82952" w:rsidRDefault="00D82952" w:rsidP="00D82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If you want, I can draft a </w:t>
      </w:r>
      <w:r w:rsidRPr="00D8295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mini-ABM spec</w:t>
      </w:r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(state, rules, parameters, calibration targets) tailored to Illinois/Iowa and wire it to your existing APSIM + </w:t>
      </w:r>
      <w:proofErr w:type="spellStart"/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>Daymet</w:t>
      </w:r>
      <w:proofErr w:type="spellEnd"/>
      <w:r w:rsidRPr="00D8295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pipeline.</w:t>
      </w:r>
    </w:p>
    <w:p w14:paraId="6B72C346" w14:textId="77777777" w:rsidR="00535F78" w:rsidRDefault="00535F78"/>
    <w:sectPr w:rsidR="00535F78" w:rsidSect="00737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75788"/>
    <w:multiLevelType w:val="multilevel"/>
    <w:tmpl w:val="9BB0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C2D86"/>
    <w:multiLevelType w:val="multilevel"/>
    <w:tmpl w:val="4812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D22C5"/>
    <w:multiLevelType w:val="multilevel"/>
    <w:tmpl w:val="449A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F496C"/>
    <w:multiLevelType w:val="multilevel"/>
    <w:tmpl w:val="DB8C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1A2C3E"/>
    <w:multiLevelType w:val="multilevel"/>
    <w:tmpl w:val="10168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5869">
    <w:abstractNumId w:val="1"/>
  </w:num>
  <w:num w:numId="2" w16cid:durableId="598410725">
    <w:abstractNumId w:val="4"/>
  </w:num>
  <w:num w:numId="3" w16cid:durableId="1537768880">
    <w:abstractNumId w:val="2"/>
  </w:num>
  <w:num w:numId="4" w16cid:durableId="793866032">
    <w:abstractNumId w:val="3"/>
  </w:num>
  <w:num w:numId="5" w16cid:durableId="1530490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952"/>
    <w:rsid w:val="00113139"/>
    <w:rsid w:val="00535F78"/>
    <w:rsid w:val="00737016"/>
    <w:rsid w:val="00D82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E0B889"/>
  <w15:chartTrackingRefBased/>
  <w15:docId w15:val="{C6C3D4F8-1256-4CEF-9B7B-BCD6F8716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7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007/s12061-023-09538-7?utm_source=chatgpt.com" TargetMode="External"/><Relationship Id="rId13" Type="http://schemas.openxmlformats.org/officeDocument/2006/relationships/hyperlink" Target="https://agupubs.onlinelibrary.wiley.com/doi/full/10.1029/2011WR010399?utm_source=chatgpt.com" TargetMode="External"/><Relationship Id="rId18" Type="http://schemas.openxmlformats.org/officeDocument/2006/relationships/hyperlink" Target="https://www.mdpi.com/2073-445X/4/4/1110?utm_source=chatgpt.com" TargetMode="External"/><Relationship Id="rId26" Type="http://schemas.openxmlformats.org/officeDocument/2006/relationships/hyperlink" Target="https://www.nature.com/articles/s41597-020-00646-4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gupubs.onlinelibrary.wiley.com/doi/full/10.1029/2011WR010399?utm_source=chatgpt.com" TargetMode="External"/><Relationship Id="rId7" Type="http://schemas.openxmlformats.org/officeDocument/2006/relationships/hyperlink" Target="https://www.sciencedirect.com/science/article/pii/S0959652621040208?utm_source=chatgpt.com" TargetMode="External"/><Relationship Id="rId12" Type="http://schemas.openxmlformats.org/officeDocument/2006/relationships/hyperlink" Target="https://www.researchgate.net/publication/241111506_CropRota_-_A_crop_rotation_model_to_support_integrated_land_use_assessments?utm_source=chatgpt.com" TargetMode="External"/><Relationship Id="rId17" Type="http://schemas.openxmlformats.org/officeDocument/2006/relationships/hyperlink" Target="https://agupubs.onlinelibrary.wiley.com/doi/full/10.1029/2011WR010399?utm_source=chatgpt.com" TargetMode="External"/><Relationship Id="rId25" Type="http://schemas.openxmlformats.org/officeDocument/2006/relationships/hyperlink" Target="https://www.researchgate.net/publication/233909469_An_agent-based_simulation_model_of_human-environment_interactions_in_agricultural_systems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ciencedirect.com/science/article/abs/pii/S0301479722026287?utm_source=chatgpt.com" TargetMode="External"/><Relationship Id="rId20" Type="http://schemas.openxmlformats.org/officeDocument/2006/relationships/hyperlink" Target="https://www.mdpi.com/2073-445X/4/4/1110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gupubs.onlinelibrary.wiley.com/doi/full/10.1029/2011WR010399?utm_source=chatgpt.com" TargetMode="External"/><Relationship Id="rId11" Type="http://schemas.openxmlformats.org/officeDocument/2006/relationships/hyperlink" Target="https://www.sciencedirect.com/science/article/abs/pii/S0301479722026287?utm_source=chatgpt.com" TargetMode="External"/><Relationship Id="rId24" Type="http://schemas.openxmlformats.org/officeDocument/2006/relationships/hyperlink" Target="https://www.sciencedirect.com/science/article/abs/pii/S136481521400200X?utm_source=chatgpt.com" TargetMode="External"/><Relationship Id="rId5" Type="http://schemas.openxmlformats.org/officeDocument/2006/relationships/hyperlink" Target="https://www.mdpi.com/2073-445X/4/4/1110?utm_source=chatgpt.com" TargetMode="External"/><Relationship Id="rId15" Type="http://schemas.openxmlformats.org/officeDocument/2006/relationships/hyperlink" Target="https://www.researchgate.net/publication/233909469_An_agent-based_simulation_model_of_human-environment_interactions_in_agricultural_systems?utm_source=chatgpt.com" TargetMode="External"/><Relationship Id="rId23" Type="http://schemas.openxmlformats.org/officeDocument/2006/relationships/hyperlink" Target="https://link.springer.com/article/10.1007/s12061-023-09538-7?utm_source=chatgpt.com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researchgate.net/publication/233909469_An_agent-based_simulation_model_of_human-environment_interactions_in_agricultural_systems?utm_source=chatgpt.com" TargetMode="External"/><Relationship Id="rId19" Type="http://schemas.openxmlformats.org/officeDocument/2006/relationships/hyperlink" Target="https://www.nature.com/articles/s41597-020-00646-4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abs/pii/S136481521400200X?utm_source=chatgpt.com" TargetMode="External"/><Relationship Id="rId14" Type="http://schemas.openxmlformats.org/officeDocument/2006/relationships/hyperlink" Target="https://www.sciencedirect.com/science/article/abs/pii/S136481521400200X?utm_source=chatgpt.com" TargetMode="External"/><Relationship Id="rId22" Type="http://schemas.openxmlformats.org/officeDocument/2006/relationships/hyperlink" Target="https://www.sciencedirect.com/science/article/pii/S0959652621040208?utm_source=chatgpt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1918</Words>
  <Characters>11418</Characters>
  <Application>Microsoft Office Word</Application>
  <DocSecurity>0</DocSecurity>
  <Lines>223</Lines>
  <Paragraphs>129</Paragraphs>
  <ScaleCrop>false</ScaleCrop>
  <Company/>
  <LinksUpToDate>false</LinksUpToDate>
  <CharactersWithSpaces>13207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Nicolas Federico</dc:creator>
  <cp:keywords/>
  <dc:description/>
  <cp:lastModifiedBy>Martin, Nicolas Federico</cp:lastModifiedBy>
  <cp:revision>1</cp:revision>
  <dcterms:created xsi:type="dcterms:W3CDTF">2025-10-24T14:57:00Z</dcterms:created>
  <dcterms:modified xsi:type="dcterms:W3CDTF">2025-10-24T15:03:00Z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96f7e693-9cef-47c4-8ffa-8ed80907e5b1</vt:lpwstr>
  </property>
</Properties>
</file>