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97C15" w14:textId="0800DA09" w:rsidR="00B12C21" w:rsidRDefault="00FD4A93">
      <w:pPr>
        <w:rPr>
          <w:rFonts w:ascii="Times New Roman" w:hAnsi="Times New Roman" w:cs="Times New Roman"/>
        </w:rPr>
      </w:pPr>
      <w:r>
        <w:rPr>
          <w:rFonts w:ascii="Times New Roman" w:hAnsi="Times New Roman" w:cs="Times New Roman"/>
        </w:rPr>
        <w:t>Theorem 3.</w:t>
      </w:r>
    </w:p>
    <w:p w14:paraId="1341A73A" w14:textId="3ACF746A" w:rsidR="00FD4A93" w:rsidRDefault="00FD4A93">
      <w:pPr>
        <w:rPr>
          <w:rFonts w:ascii="Times New Roman" w:hAnsi="Times New Roman" w:cs="Times New Roman"/>
        </w:rPr>
      </w:pPr>
      <w:r>
        <w:rPr>
          <w:rFonts w:ascii="Times New Roman" w:hAnsi="Times New Roman" w:cs="Times New Roman"/>
        </w:rPr>
        <w:t xml:space="preserve">     The impacts of the foreign trade </w:t>
      </w:r>
      <w:r w:rsidR="00F27859">
        <w:rPr>
          <w:rFonts w:ascii="Times New Roman" w:hAnsi="Times New Roman" w:cs="Times New Roman"/>
        </w:rPr>
        <w:t xml:space="preserve">policies of the domestic economy’s foreign </w:t>
      </w:r>
      <w:r w:rsidR="008436DD">
        <w:rPr>
          <w:rFonts w:ascii="Times New Roman" w:hAnsi="Times New Roman" w:cs="Times New Roman"/>
        </w:rPr>
        <w:t>trade and payments’ partner country</w:t>
      </w:r>
      <w:r w:rsidR="000858AC">
        <w:rPr>
          <w:rFonts w:ascii="Times New Roman" w:hAnsi="Times New Roman" w:cs="Times New Roman"/>
        </w:rPr>
        <w:t xml:space="preserve"> on the volumes of mone</w:t>
      </w:r>
      <w:r w:rsidR="00AF11D9">
        <w:rPr>
          <w:rFonts w:ascii="Times New Roman" w:hAnsi="Times New Roman" w:cs="Times New Roman"/>
        </w:rPr>
        <w:t>tary and financial</w:t>
      </w:r>
      <w:r w:rsidR="00816425">
        <w:rPr>
          <w:rFonts w:ascii="Times New Roman" w:hAnsi="Times New Roman" w:cs="Times New Roman"/>
        </w:rPr>
        <w:t xml:space="preserve"> instruments in the domestic economy</w:t>
      </w:r>
      <w:r w:rsidR="00BE15E0">
        <w:rPr>
          <w:rFonts w:ascii="Times New Roman" w:hAnsi="Times New Roman" w:cs="Times New Roman"/>
        </w:rPr>
        <w:t xml:space="preserve"> and the </w:t>
      </w:r>
      <w:r w:rsidR="00C910F4">
        <w:rPr>
          <w:rFonts w:ascii="Times New Roman" w:hAnsi="Times New Roman" w:cs="Times New Roman"/>
        </w:rPr>
        <w:t>global economy are given by</w:t>
      </w:r>
      <w:r w:rsidR="00E4374A">
        <w:rPr>
          <w:rFonts w:ascii="Times New Roman" w:hAnsi="Times New Roman" w:cs="Times New Roman"/>
        </w:rPr>
        <w:t xml:space="preserve"> (16) – (17b): </w:t>
      </w:r>
    </w:p>
    <w:p w14:paraId="08DF5FA0" w14:textId="77777777" w:rsidR="00D27667" w:rsidRDefault="00071387">
      <w:pPr>
        <w:rPr>
          <w:rFonts w:ascii="Times New Roman" w:hAnsi="Times New Roman" w:cs="Times New Roman"/>
        </w:rPr>
      </w:pPr>
      <w:r>
        <w:rPr>
          <w:rFonts w:ascii="Times New Roman" w:hAnsi="Times New Roman" w:cs="Times New Roman"/>
        </w:rPr>
        <w:t xml:space="preserve">Eqn 16  17a </w:t>
      </w:r>
    </w:p>
    <w:p w14:paraId="295904C0" w14:textId="77777777" w:rsidR="00D27667" w:rsidRDefault="00D27667">
      <w:pPr>
        <w:rPr>
          <w:rFonts w:ascii="Times New Roman" w:hAnsi="Times New Roman" w:cs="Times New Roman"/>
        </w:rPr>
      </w:pPr>
    </w:p>
    <w:p w14:paraId="4F2AB6C1" w14:textId="77777777" w:rsidR="00D27667" w:rsidRDefault="00D27667">
      <w:pPr>
        <w:rPr>
          <w:rFonts w:ascii="Times New Roman" w:hAnsi="Times New Roman" w:cs="Times New Roman"/>
        </w:rPr>
      </w:pPr>
    </w:p>
    <w:p w14:paraId="2909C7BA" w14:textId="77777777" w:rsidR="00D27667" w:rsidRDefault="00D27667">
      <w:pPr>
        <w:rPr>
          <w:rFonts w:ascii="Times New Roman" w:hAnsi="Times New Roman" w:cs="Times New Roman"/>
        </w:rPr>
      </w:pPr>
    </w:p>
    <w:p w14:paraId="2D30B72B" w14:textId="77777777" w:rsidR="00960C18" w:rsidRDefault="00D27667">
      <w:pPr>
        <w:rPr>
          <w:rFonts w:ascii="Times New Roman" w:hAnsi="Times New Roman" w:cs="Times New Roman"/>
        </w:rPr>
      </w:pPr>
      <w:r>
        <w:rPr>
          <w:rFonts w:ascii="Times New Roman" w:hAnsi="Times New Roman" w:cs="Times New Roman"/>
        </w:rPr>
        <w:t>Where all the variables are as indicated already</w:t>
      </w:r>
      <w:r w:rsidR="00960C18">
        <w:rPr>
          <w:rFonts w:ascii="Times New Roman" w:hAnsi="Times New Roman" w:cs="Times New Roman"/>
        </w:rPr>
        <w:t>.</w:t>
      </w:r>
    </w:p>
    <w:p w14:paraId="47336A58" w14:textId="77777777" w:rsidR="00960C18" w:rsidRDefault="00960C18">
      <w:pPr>
        <w:rPr>
          <w:rFonts w:ascii="Times New Roman" w:hAnsi="Times New Roman" w:cs="Times New Roman"/>
        </w:rPr>
      </w:pPr>
    </w:p>
    <w:p w14:paraId="1761F5DB" w14:textId="112AF018" w:rsidR="00E4374A" w:rsidRDefault="00960C18">
      <w:pPr>
        <w:rPr>
          <w:rFonts w:ascii="Times New Roman" w:hAnsi="Times New Roman" w:cs="Times New Roman"/>
        </w:rPr>
      </w:pPr>
      <w:r>
        <w:rPr>
          <w:rFonts w:ascii="Times New Roman" w:hAnsi="Times New Roman" w:cs="Times New Roman"/>
        </w:rPr>
        <w:t xml:space="preserve">The proofs of </w:t>
      </w:r>
      <w:r w:rsidR="00AC5D23">
        <w:rPr>
          <w:rFonts w:ascii="Times New Roman" w:hAnsi="Times New Roman" w:cs="Times New Roman"/>
        </w:rPr>
        <w:t xml:space="preserve">(16) (17b) </w:t>
      </w:r>
      <w:r w:rsidR="00F75693">
        <w:rPr>
          <w:rFonts w:ascii="Times New Roman" w:hAnsi="Times New Roman" w:cs="Times New Roman"/>
        </w:rPr>
        <w:t>prove theorem 2. The proof in</w:t>
      </w:r>
      <w:r w:rsidR="007569B2">
        <w:rPr>
          <w:rFonts w:ascii="Times New Roman" w:hAnsi="Times New Roman" w:cs="Times New Roman"/>
        </w:rPr>
        <w:t xml:space="preserve">volves invocation  of the </w:t>
      </w:r>
      <w:r w:rsidR="00C70350">
        <w:rPr>
          <w:rFonts w:ascii="Times New Roman" w:hAnsi="Times New Roman" w:cs="Times New Roman"/>
        </w:rPr>
        <w:t>composite function rule of differential calculus, based on (10a)</w:t>
      </w:r>
      <w:r w:rsidR="008444D1">
        <w:rPr>
          <w:rFonts w:ascii="Times New Roman" w:hAnsi="Times New Roman" w:cs="Times New Roman"/>
        </w:rPr>
        <w:t xml:space="preserve">, </w:t>
      </w:r>
      <w:r w:rsidR="00FC00B3">
        <w:rPr>
          <w:rFonts w:ascii="Times New Roman" w:hAnsi="Times New Roman" w:cs="Times New Roman"/>
        </w:rPr>
        <w:t xml:space="preserve">(3a) –(3b), (7a) – (7c), and </w:t>
      </w:r>
      <w:r w:rsidR="009F3530">
        <w:rPr>
          <w:rFonts w:ascii="Times New Roman" w:hAnsi="Times New Roman" w:cs="Times New Roman"/>
        </w:rPr>
        <w:t>evaluated to yield</w:t>
      </w:r>
      <w:r w:rsidR="00524AA8">
        <w:rPr>
          <w:rFonts w:ascii="Times New Roman" w:hAnsi="Times New Roman" w:cs="Times New Roman"/>
        </w:rPr>
        <w:t xml:space="preserve"> (16), (17a) – (17b)</w:t>
      </w:r>
      <w:r w:rsidR="009F3530">
        <w:rPr>
          <w:rFonts w:ascii="Times New Roman" w:hAnsi="Times New Roman" w:cs="Times New Roman"/>
        </w:rPr>
        <w:t xml:space="preserve"> in theorem 2 as required. </w:t>
      </w:r>
      <w:r w:rsidR="00071387">
        <w:rPr>
          <w:rFonts w:ascii="Times New Roman" w:hAnsi="Times New Roman" w:cs="Times New Roman"/>
        </w:rPr>
        <w:t xml:space="preserve"> </w:t>
      </w:r>
    </w:p>
    <w:p w14:paraId="2119A552" w14:textId="4169F1C9" w:rsidR="005747E1" w:rsidRDefault="005747E1">
      <w:pPr>
        <w:rPr>
          <w:rFonts w:ascii="Times New Roman" w:hAnsi="Times New Roman" w:cs="Times New Roman"/>
        </w:rPr>
      </w:pPr>
      <w:r>
        <w:rPr>
          <w:rFonts w:ascii="Times New Roman" w:hAnsi="Times New Roman" w:cs="Times New Roman"/>
        </w:rPr>
        <w:t>(Q.E.D).</w:t>
      </w:r>
    </w:p>
    <w:p w14:paraId="39A73DC5" w14:textId="77777777" w:rsidR="005747E1" w:rsidRDefault="005747E1">
      <w:pPr>
        <w:rPr>
          <w:rFonts w:ascii="Times New Roman" w:hAnsi="Times New Roman" w:cs="Times New Roman"/>
        </w:rPr>
      </w:pPr>
    </w:p>
    <w:p w14:paraId="042381C0" w14:textId="38536FE7" w:rsidR="005747E1" w:rsidRDefault="005747E1">
      <w:pPr>
        <w:rPr>
          <w:rFonts w:ascii="Times New Roman" w:hAnsi="Times New Roman" w:cs="Times New Roman"/>
        </w:rPr>
      </w:pPr>
      <w:r>
        <w:rPr>
          <w:rFonts w:ascii="Times New Roman" w:hAnsi="Times New Roman" w:cs="Times New Roman"/>
        </w:rPr>
        <w:t xml:space="preserve">Theorem </w:t>
      </w:r>
      <w:r w:rsidR="00BD5078">
        <w:rPr>
          <w:rFonts w:ascii="Times New Roman" w:hAnsi="Times New Roman" w:cs="Times New Roman"/>
        </w:rPr>
        <w:t>4.</w:t>
      </w:r>
    </w:p>
    <w:p w14:paraId="294B1460" w14:textId="2664E40C" w:rsidR="00BD5078" w:rsidRDefault="00BD5078">
      <w:pPr>
        <w:rPr>
          <w:rFonts w:ascii="Times New Roman" w:hAnsi="Times New Roman" w:cs="Times New Roman"/>
        </w:rPr>
      </w:pPr>
      <w:r>
        <w:rPr>
          <w:rFonts w:ascii="Times New Roman" w:hAnsi="Times New Roman" w:cs="Times New Roman"/>
        </w:rPr>
        <w:t xml:space="preserve"> The impacts of the foreign trade and payments policies of the </w:t>
      </w:r>
      <w:r w:rsidR="00C7605A">
        <w:rPr>
          <w:rFonts w:ascii="Times New Roman" w:hAnsi="Times New Roman" w:cs="Times New Roman"/>
        </w:rPr>
        <w:t xml:space="preserve">domestic economy’s foreign trade and </w:t>
      </w:r>
      <w:r w:rsidR="007F4599">
        <w:rPr>
          <w:rFonts w:ascii="Times New Roman" w:hAnsi="Times New Roman" w:cs="Times New Roman"/>
        </w:rPr>
        <w:t>payments part</w:t>
      </w:r>
      <w:r w:rsidR="00EF1E1B">
        <w:rPr>
          <w:rFonts w:ascii="Times New Roman" w:hAnsi="Times New Roman" w:cs="Times New Roman"/>
        </w:rPr>
        <w:t xml:space="preserve">ner country on the proportional growth </w:t>
      </w:r>
      <w:r w:rsidR="005903C1">
        <w:rPr>
          <w:rFonts w:ascii="Times New Roman" w:hAnsi="Times New Roman" w:cs="Times New Roman"/>
        </w:rPr>
        <w:t xml:space="preserve">and </w:t>
      </w:r>
      <w:r w:rsidR="00D67AB5">
        <w:rPr>
          <w:rFonts w:ascii="Times New Roman" w:hAnsi="Times New Roman" w:cs="Times New Roman"/>
        </w:rPr>
        <w:t xml:space="preserve">acceleration of the volumes of the </w:t>
      </w:r>
      <w:r w:rsidR="0099476E">
        <w:rPr>
          <w:rFonts w:ascii="Times New Roman" w:hAnsi="Times New Roman" w:cs="Times New Roman"/>
        </w:rPr>
        <w:t xml:space="preserve">domestic and global (international) monetary and financial </w:t>
      </w:r>
      <w:r w:rsidR="005A5077">
        <w:rPr>
          <w:rFonts w:ascii="Times New Roman" w:hAnsi="Times New Roman" w:cs="Times New Roman"/>
        </w:rPr>
        <w:t xml:space="preserve">instruments in the domestic economy and the global economy are given by (18a) – (18b): </w:t>
      </w:r>
    </w:p>
    <w:p w14:paraId="58DDD07A" w14:textId="77777777" w:rsidR="005A5077" w:rsidRDefault="005A5077">
      <w:pPr>
        <w:rPr>
          <w:rFonts w:ascii="Times New Roman" w:hAnsi="Times New Roman" w:cs="Times New Roman"/>
        </w:rPr>
      </w:pPr>
    </w:p>
    <w:p w14:paraId="4C5D699E" w14:textId="77777777" w:rsidR="005A5077" w:rsidRDefault="005A5077">
      <w:pPr>
        <w:rPr>
          <w:rFonts w:ascii="Times New Roman" w:hAnsi="Times New Roman" w:cs="Times New Roman"/>
        </w:rPr>
      </w:pPr>
    </w:p>
    <w:p w14:paraId="292CD036" w14:textId="15278362" w:rsidR="005A5077" w:rsidRDefault="005A5077">
      <w:pPr>
        <w:rPr>
          <w:rFonts w:ascii="Times New Roman" w:hAnsi="Times New Roman" w:cs="Times New Roman"/>
        </w:rPr>
      </w:pPr>
      <w:r>
        <w:rPr>
          <w:rFonts w:ascii="Times New Roman" w:hAnsi="Times New Roman" w:cs="Times New Roman"/>
        </w:rPr>
        <w:t xml:space="preserve">Eqn </w:t>
      </w:r>
      <w:r w:rsidR="00A131E9">
        <w:rPr>
          <w:rFonts w:ascii="Times New Roman" w:hAnsi="Times New Roman" w:cs="Times New Roman"/>
        </w:rPr>
        <w:t xml:space="preserve">18 a b c d e </w:t>
      </w:r>
    </w:p>
    <w:p w14:paraId="0B4ECD79" w14:textId="77777777" w:rsidR="00A131E9" w:rsidRDefault="00A131E9">
      <w:pPr>
        <w:rPr>
          <w:rFonts w:ascii="Times New Roman" w:hAnsi="Times New Roman" w:cs="Times New Roman"/>
        </w:rPr>
      </w:pPr>
    </w:p>
    <w:p w14:paraId="0B0CBFA7" w14:textId="77777777" w:rsidR="00A131E9" w:rsidRDefault="00A131E9">
      <w:pPr>
        <w:rPr>
          <w:rFonts w:ascii="Times New Roman" w:hAnsi="Times New Roman" w:cs="Times New Roman"/>
        </w:rPr>
      </w:pPr>
    </w:p>
    <w:p w14:paraId="2AAC8BFE" w14:textId="00699510" w:rsidR="00A131E9" w:rsidRDefault="00A131E9">
      <w:pPr>
        <w:rPr>
          <w:rFonts w:ascii="Times New Roman" w:hAnsi="Times New Roman" w:cs="Times New Roman"/>
        </w:rPr>
      </w:pPr>
      <w:r>
        <w:rPr>
          <w:rFonts w:ascii="Times New Roman" w:hAnsi="Times New Roman" w:cs="Times New Roman"/>
        </w:rPr>
        <w:t>Q.E.D.</w:t>
      </w:r>
    </w:p>
    <w:p w14:paraId="208C9F66" w14:textId="77777777" w:rsidR="00A131E9" w:rsidRDefault="00A131E9">
      <w:pPr>
        <w:rPr>
          <w:rFonts w:ascii="Times New Roman" w:hAnsi="Times New Roman" w:cs="Times New Roman"/>
        </w:rPr>
      </w:pPr>
    </w:p>
    <w:p w14:paraId="211FE0CC" w14:textId="55D98769" w:rsidR="00A131E9" w:rsidRDefault="00A131E9">
      <w:pPr>
        <w:rPr>
          <w:rFonts w:ascii="Times New Roman" w:hAnsi="Times New Roman" w:cs="Times New Roman"/>
        </w:rPr>
      </w:pPr>
      <w:r>
        <w:rPr>
          <w:rFonts w:ascii="Times New Roman" w:hAnsi="Times New Roman" w:cs="Times New Roman"/>
        </w:rPr>
        <w:t>Theorem 5.</w:t>
      </w:r>
    </w:p>
    <w:p w14:paraId="6C22F57A" w14:textId="795EFDD5" w:rsidR="00A131E9" w:rsidRDefault="00A131E9">
      <w:pPr>
        <w:rPr>
          <w:rFonts w:ascii="Times New Roman" w:hAnsi="Times New Roman" w:cs="Times New Roman"/>
        </w:rPr>
      </w:pPr>
      <w:r>
        <w:rPr>
          <w:rFonts w:ascii="Times New Roman" w:hAnsi="Times New Roman" w:cs="Times New Roman"/>
        </w:rPr>
        <w:t xml:space="preserve">   </w:t>
      </w:r>
      <w:r w:rsidR="000F7C33">
        <w:rPr>
          <w:rFonts w:ascii="Times New Roman" w:hAnsi="Times New Roman" w:cs="Times New Roman"/>
        </w:rPr>
        <w:t xml:space="preserve">The impacts of the foreign trade policies of the domestic </w:t>
      </w:r>
      <w:r w:rsidR="00C36727">
        <w:rPr>
          <w:rFonts w:ascii="Times New Roman" w:hAnsi="Times New Roman" w:cs="Times New Roman"/>
        </w:rPr>
        <w:t xml:space="preserve">economy’s foreign trade and payments partner country on the </w:t>
      </w:r>
      <w:r w:rsidR="00FC634C">
        <w:rPr>
          <w:rFonts w:ascii="Times New Roman" w:hAnsi="Times New Roman" w:cs="Times New Roman"/>
        </w:rPr>
        <w:t>volumes of the domestic economy</w:t>
      </w:r>
      <w:r w:rsidR="002D5E71">
        <w:rPr>
          <w:rFonts w:ascii="Times New Roman" w:hAnsi="Times New Roman" w:cs="Times New Roman"/>
        </w:rPr>
        <w:t xml:space="preserve"> and the global economy’s </w:t>
      </w:r>
      <w:r w:rsidR="004E42D2">
        <w:rPr>
          <w:rFonts w:ascii="Times New Roman" w:hAnsi="Times New Roman" w:cs="Times New Roman"/>
        </w:rPr>
        <w:lastRenderedPageBreak/>
        <w:t xml:space="preserve">volatilities of the volumes’ levels, proportional </w:t>
      </w:r>
      <w:r w:rsidR="00074CBC">
        <w:rPr>
          <w:rFonts w:ascii="Times New Roman" w:hAnsi="Times New Roman" w:cs="Times New Roman"/>
        </w:rPr>
        <w:t xml:space="preserve">growth and acceleration </w:t>
      </w:r>
      <w:r w:rsidR="005433C5">
        <w:rPr>
          <w:rFonts w:ascii="Times New Roman" w:hAnsi="Times New Roman" w:cs="Times New Roman"/>
        </w:rPr>
        <w:t xml:space="preserve">of the monetary and financial </w:t>
      </w:r>
      <w:r w:rsidR="0067439B">
        <w:rPr>
          <w:rFonts w:ascii="Times New Roman" w:hAnsi="Times New Roman" w:cs="Times New Roman"/>
        </w:rPr>
        <w:t xml:space="preserve">system’s instruments in the domestic economy and the </w:t>
      </w:r>
      <w:r w:rsidR="00AD4716">
        <w:rPr>
          <w:rFonts w:ascii="Times New Roman" w:hAnsi="Times New Roman" w:cs="Times New Roman"/>
        </w:rPr>
        <w:t xml:space="preserve">global </w:t>
      </w:r>
      <w:r w:rsidR="002C236C">
        <w:rPr>
          <w:rFonts w:ascii="Times New Roman" w:hAnsi="Times New Roman" w:cs="Times New Roman"/>
        </w:rPr>
        <w:t>economy are given by (19a) –(19f):</w:t>
      </w:r>
    </w:p>
    <w:p w14:paraId="513ED1B5" w14:textId="77777777" w:rsidR="002C236C" w:rsidRDefault="002C236C">
      <w:pPr>
        <w:rPr>
          <w:rFonts w:ascii="Times New Roman" w:hAnsi="Times New Roman" w:cs="Times New Roman"/>
        </w:rPr>
      </w:pPr>
    </w:p>
    <w:p w14:paraId="02B6B5F4" w14:textId="1D249C28" w:rsidR="002C236C" w:rsidRDefault="002C236C">
      <w:pPr>
        <w:rPr>
          <w:rFonts w:ascii="Times New Roman" w:hAnsi="Times New Roman" w:cs="Times New Roman"/>
        </w:rPr>
      </w:pPr>
      <w:r>
        <w:rPr>
          <w:rFonts w:ascii="Times New Roman" w:hAnsi="Times New Roman" w:cs="Times New Roman"/>
        </w:rPr>
        <w:t>Eqn 19 a b c  d e f</w:t>
      </w:r>
    </w:p>
    <w:p w14:paraId="0530F8C3" w14:textId="77777777" w:rsidR="002C236C" w:rsidRDefault="002C236C">
      <w:pPr>
        <w:rPr>
          <w:rFonts w:ascii="Times New Roman" w:hAnsi="Times New Roman" w:cs="Times New Roman"/>
        </w:rPr>
      </w:pPr>
    </w:p>
    <w:p w14:paraId="76BDD3E3" w14:textId="1EF21C44" w:rsidR="002C236C" w:rsidRDefault="002C236C">
      <w:pPr>
        <w:rPr>
          <w:rFonts w:ascii="Times New Roman" w:hAnsi="Times New Roman" w:cs="Times New Roman"/>
        </w:rPr>
      </w:pPr>
      <w:r>
        <w:rPr>
          <w:rFonts w:ascii="Times New Roman" w:hAnsi="Times New Roman" w:cs="Times New Roman"/>
        </w:rPr>
        <w:t>Where eqn 19 e</w:t>
      </w:r>
    </w:p>
    <w:p w14:paraId="4AD4BA48" w14:textId="77777777" w:rsidR="002C236C" w:rsidRDefault="002C236C">
      <w:pPr>
        <w:rPr>
          <w:rFonts w:ascii="Times New Roman" w:hAnsi="Times New Roman" w:cs="Times New Roman"/>
        </w:rPr>
      </w:pPr>
    </w:p>
    <w:p w14:paraId="0B6151A5" w14:textId="77777777" w:rsidR="002C236C" w:rsidRDefault="002C236C">
      <w:pPr>
        <w:rPr>
          <w:rFonts w:ascii="Times New Roman" w:hAnsi="Times New Roman" w:cs="Times New Roman"/>
        </w:rPr>
      </w:pPr>
    </w:p>
    <w:p w14:paraId="3EFED6B0" w14:textId="52472331" w:rsidR="002C236C" w:rsidRDefault="00090E1C">
      <w:pPr>
        <w:rPr>
          <w:rFonts w:ascii="Times New Roman" w:hAnsi="Times New Roman" w:cs="Times New Roman"/>
        </w:rPr>
      </w:pPr>
      <w:r>
        <w:rPr>
          <w:rFonts w:ascii="Times New Roman" w:hAnsi="Times New Roman" w:cs="Times New Roman"/>
        </w:rPr>
        <w:t xml:space="preserve">Proving (19a) – (19f) essentially constitute the proof of </w:t>
      </w:r>
      <w:r w:rsidR="006A5045">
        <w:rPr>
          <w:rFonts w:ascii="Times New Roman" w:hAnsi="Times New Roman" w:cs="Times New Roman"/>
        </w:rPr>
        <w:t>theorem 5. Utilizing the composite function rule of differential calculus, evaluating and simplif</w:t>
      </w:r>
      <w:r w:rsidR="0082045A">
        <w:rPr>
          <w:rFonts w:ascii="Times New Roman" w:hAnsi="Times New Roman" w:cs="Times New Roman"/>
        </w:rPr>
        <w:t>ying the results yield (19a) – (19f) in theorem 5 as required.</w:t>
      </w:r>
    </w:p>
    <w:p w14:paraId="2D082687" w14:textId="125DFEDD" w:rsidR="0082045A" w:rsidRDefault="0082045A">
      <w:pPr>
        <w:rPr>
          <w:rFonts w:ascii="Times New Roman" w:hAnsi="Times New Roman" w:cs="Times New Roman"/>
        </w:rPr>
      </w:pPr>
      <w:r>
        <w:rPr>
          <w:rFonts w:ascii="Times New Roman" w:hAnsi="Times New Roman" w:cs="Times New Roman"/>
        </w:rPr>
        <w:t>Q.E.D.</w:t>
      </w:r>
    </w:p>
    <w:p w14:paraId="1B8BD57A" w14:textId="77777777" w:rsidR="0082045A" w:rsidRDefault="0082045A">
      <w:pPr>
        <w:rPr>
          <w:rFonts w:ascii="Times New Roman" w:hAnsi="Times New Roman" w:cs="Times New Roman"/>
        </w:rPr>
      </w:pPr>
    </w:p>
    <w:p w14:paraId="5A90E38D" w14:textId="77777777" w:rsidR="0082045A" w:rsidRDefault="0082045A">
      <w:pPr>
        <w:rPr>
          <w:rFonts w:ascii="Times New Roman" w:hAnsi="Times New Roman" w:cs="Times New Roman"/>
        </w:rPr>
      </w:pPr>
    </w:p>
    <w:p w14:paraId="737290EE" w14:textId="77777777" w:rsidR="0082045A" w:rsidRDefault="0082045A">
      <w:pPr>
        <w:rPr>
          <w:rFonts w:ascii="Times New Roman" w:hAnsi="Times New Roman" w:cs="Times New Roman"/>
        </w:rPr>
      </w:pPr>
    </w:p>
    <w:p w14:paraId="59F20FF1" w14:textId="77777777" w:rsidR="0082045A" w:rsidRDefault="0082045A">
      <w:pPr>
        <w:rPr>
          <w:rFonts w:ascii="Times New Roman" w:hAnsi="Times New Roman" w:cs="Times New Roman"/>
        </w:rPr>
      </w:pPr>
    </w:p>
    <w:p w14:paraId="460F2BBB" w14:textId="77777777" w:rsidR="0082045A" w:rsidRDefault="0082045A">
      <w:pPr>
        <w:rPr>
          <w:rFonts w:ascii="Times New Roman" w:hAnsi="Times New Roman" w:cs="Times New Roman"/>
        </w:rPr>
      </w:pPr>
    </w:p>
    <w:p w14:paraId="5651C63E" w14:textId="33E31B46" w:rsidR="0082045A" w:rsidRDefault="0082045A">
      <w:pPr>
        <w:rPr>
          <w:rFonts w:ascii="Times New Roman" w:hAnsi="Times New Roman" w:cs="Times New Roman"/>
        </w:rPr>
      </w:pPr>
      <w:r>
        <w:rPr>
          <w:rFonts w:ascii="Times New Roman" w:hAnsi="Times New Roman" w:cs="Times New Roman"/>
        </w:rPr>
        <w:t>THEORE 6</w:t>
      </w:r>
    </w:p>
    <w:p w14:paraId="770E52FC" w14:textId="77777777" w:rsidR="0082045A" w:rsidRDefault="0082045A">
      <w:pPr>
        <w:rPr>
          <w:rFonts w:ascii="Times New Roman" w:hAnsi="Times New Roman" w:cs="Times New Roman"/>
        </w:rPr>
      </w:pPr>
    </w:p>
    <w:p w14:paraId="3F99F8FA" w14:textId="1637518F" w:rsidR="0082045A" w:rsidRDefault="0082045A">
      <w:pPr>
        <w:rPr>
          <w:rFonts w:ascii="Times New Roman" w:hAnsi="Times New Roman" w:cs="Times New Roman"/>
        </w:rPr>
      </w:pPr>
      <w:r>
        <w:rPr>
          <w:rFonts w:ascii="Times New Roman" w:hAnsi="Times New Roman" w:cs="Times New Roman"/>
        </w:rPr>
        <w:t xml:space="preserve">     The marginal impacts of the competition in the monetary and financial marke</w:t>
      </w:r>
      <w:r w:rsidR="0064106D">
        <w:rPr>
          <w:rFonts w:ascii="Times New Roman" w:hAnsi="Times New Roman" w:cs="Times New Roman"/>
        </w:rPr>
        <w:t xml:space="preserve">t on the levels, growth and acceleration of real, aggregate output </w:t>
      </w:r>
      <w:r w:rsidR="00831B18">
        <w:rPr>
          <w:rFonts w:ascii="Times New Roman" w:hAnsi="Times New Roman" w:cs="Times New Roman"/>
        </w:rPr>
        <w:t xml:space="preserve">in the domestic open economy global </w:t>
      </w:r>
      <w:r w:rsidR="005B14B7">
        <w:rPr>
          <w:rFonts w:ascii="Times New Roman" w:hAnsi="Times New Roman" w:cs="Times New Roman"/>
        </w:rPr>
        <w:t>economy are given by (20a) – (20c) and (20d)</w:t>
      </w:r>
      <w:r w:rsidR="000C0F34">
        <w:rPr>
          <w:rFonts w:ascii="Times New Roman" w:hAnsi="Times New Roman" w:cs="Times New Roman"/>
        </w:rPr>
        <w:t xml:space="preserve"> – (20f): </w:t>
      </w:r>
    </w:p>
    <w:p w14:paraId="421FD52E" w14:textId="77777777" w:rsidR="000C0F34" w:rsidRDefault="000C0F34">
      <w:pPr>
        <w:rPr>
          <w:rFonts w:ascii="Times New Roman" w:hAnsi="Times New Roman" w:cs="Times New Roman"/>
        </w:rPr>
      </w:pPr>
    </w:p>
    <w:p w14:paraId="33F54A96" w14:textId="77777777" w:rsidR="000C0F34" w:rsidRDefault="000C0F34">
      <w:pPr>
        <w:rPr>
          <w:rFonts w:ascii="Times New Roman" w:hAnsi="Times New Roman" w:cs="Times New Roman"/>
        </w:rPr>
      </w:pPr>
    </w:p>
    <w:p w14:paraId="4FA2E0E9" w14:textId="2A0C657F" w:rsidR="000C0F34" w:rsidRDefault="000C0F34">
      <w:pPr>
        <w:rPr>
          <w:rFonts w:ascii="Times New Roman" w:hAnsi="Times New Roman" w:cs="Times New Roman"/>
        </w:rPr>
      </w:pPr>
      <w:r>
        <w:rPr>
          <w:rFonts w:ascii="Times New Roman" w:hAnsi="Times New Roman" w:cs="Times New Roman"/>
        </w:rPr>
        <w:t>Eqn  20   a b c d e f</w:t>
      </w:r>
    </w:p>
    <w:p w14:paraId="323223C4" w14:textId="77777777" w:rsidR="000C0F34" w:rsidRDefault="000C0F34">
      <w:pPr>
        <w:rPr>
          <w:rFonts w:ascii="Times New Roman" w:hAnsi="Times New Roman" w:cs="Times New Roman"/>
        </w:rPr>
      </w:pPr>
    </w:p>
    <w:p w14:paraId="30CA193B" w14:textId="06FB42F5" w:rsidR="00741189" w:rsidRDefault="000C0F34">
      <w:pPr>
        <w:rPr>
          <w:rFonts w:ascii="Times New Roman" w:hAnsi="Times New Roman" w:cs="Times New Roman"/>
        </w:rPr>
      </w:pPr>
      <w:r>
        <w:rPr>
          <w:rFonts w:ascii="Times New Roman" w:hAnsi="Times New Roman" w:cs="Times New Roman"/>
        </w:rPr>
        <w:t>Where w</w:t>
      </w:r>
      <w:r w:rsidR="001E1A83">
        <w:rPr>
          <w:rFonts w:ascii="Times New Roman" w:hAnsi="Times New Roman" w:cs="Times New Roman"/>
        </w:rPr>
        <w:t xml:space="preserve">(g,t), __ (g,t) and </w:t>
      </w:r>
      <w:r w:rsidR="00E22E87">
        <w:rPr>
          <w:rFonts w:ascii="Times New Roman" w:hAnsi="Times New Roman" w:cs="Times New Roman"/>
        </w:rPr>
        <w:t xml:space="preserve">__ (g,t) are the respective shares of the gth domestic open economy in the </w:t>
      </w:r>
      <w:r w:rsidR="002976D5">
        <w:rPr>
          <w:rFonts w:ascii="Times New Roman" w:hAnsi="Times New Roman" w:cs="Times New Roman"/>
        </w:rPr>
        <w:t xml:space="preserve">levels growth and acceleration in the global economy; </w:t>
      </w:r>
      <w:r w:rsidR="00741189">
        <w:rPr>
          <w:rFonts w:ascii="Times New Roman" w:hAnsi="Times New Roman" w:cs="Times New Roman"/>
        </w:rPr>
        <w:t>______ , ---------- and  _____ are</w:t>
      </w:r>
      <w:r w:rsidR="00496B83">
        <w:rPr>
          <w:rFonts w:ascii="Times New Roman" w:hAnsi="Times New Roman" w:cs="Times New Roman"/>
        </w:rPr>
        <w:t xml:space="preserve"> as derived in (20a) – (</w:t>
      </w:r>
      <w:r w:rsidR="00745C3C">
        <w:rPr>
          <w:rFonts w:ascii="Times New Roman" w:hAnsi="Times New Roman" w:cs="Times New Roman"/>
        </w:rPr>
        <w:t xml:space="preserve">20c); all other variables are as already indicated. </w:t>
      </w:r>
    </w:p>
    <w:p w14:paraId="0CFD3B45" w14:textId="77777777" w:rsidR="00745C3C" w:rsidRDefault="00745C3C">
      <w:pPr>
        <w:rPr>
          <w:rFonts w:ascii="Times New Roman" w:hAnsi="Times New Roman" w:cs="Times New Roman"/>
        </w:rPr>
      </w:pPr>
    </w:p>
    <w:p w14:paraId="0B391158" w14:textId="0AB179AE" w:rsidR="00745C3C" w:rsidRDefault="0005343E">
      <w:pPr>
        <w:rPr>
          <w:rFonts w:ascii="Times New Roman" w:hAnsi="Times New Roman" w:cs="Times New Roman"/>
        </w:rPr>
      </w:pPr>
      <w:r>
        <w:rPr>
          <w:rFonts w:ascii="Times New Roman" w:hAnsi="Times New Roman" w:cs="Times New Roman"/>
        </w:rPr>
        <w:t xml:space="preserve">Theorem 6 is proved by proving (20a) – (20c) and (20d) – (20f) . utilizing </w:t>
      </w:r>
      <w:r w:rsidR="008013C0">
        <w:rPr>
          <w:rFonts w:ascii="Times New Roman" w:hAnsi="Times New Roman" w:cs="Times New Roman"/>
        </w:rPr>
        <w:t xml:space="preserve">the implicit function rule and the inverse function rule </w:t>
      </w:r>
      <w:r w:rsidR="00BF1532">
        <w:rPr>
          <w:rFonts w:ascii="Times New Roman" w:hAnsi="Times New Roman" w:cs="Times New Roman"/>
        </w:rPr>
        <w:t xml:space="preserve">of the differential calculus, evaluating the terms using Axioms 2, amd Q = ____ and </w:t>
      </w:r>
      <w:r w:rsidR="007D74BB">
        <w:rPr>
          <w:rFonts w:ascii="Times New Roman" w:hAnsi="Times New Roman" w:cs="Times New Roman"/>
        </w:rPr>
        <w:t xml:space="preserve">the function for __ derived from this function for ___, and simplifying the results </w:t>
      </w:r>
      <w:r w:rsidR="00BB4C43">
        <w:rPr>
          <w:rFonts w:ascii="Times New Roman" w:hAnsi="Times New Roman" w:cs="Times New Roman"/>
        </w:rPr>
        <w:t>give (2a) – (20c) and (20d) – (20f) respectively</w:t>
      </w:r>
      <w:r w:rsidR="00DC504D">
        <w:rPr>
          <w:rFonts w:ascii="Times New Roman" w:hAnsi="Times New Roman" w:cs="Times New Roman"/>
        </w:rPr>
        <w:t xml:space="preserve">. </w:t>
      </w:r>
    </w:p>
    <w:p w14:paraId="6D1477AF" w14:textId="77777777" w:rsidR="00DC504D" w:rsidRDefault="00DC504D">
      <w:pPr>
        <w:rPr>
          <w:rFonts w:ascii="Times New Roman" w:hAnsi="Times New Roman" w:cs="Times New Roman"/>
        </w:rPr>
      </w:pPr>
    </w:p>
    <w:p w14:paraId="525D042D" w14:textId="77777777" w:rsidR="00DC504D" w:rsidRDefault="00DC504D">
      <w:pPr>
        <w:rPr>
          <w:rFonts w:ascii="Times New Roman" w:hAnsi="Times New Roman" w:cs="Times New Roman"/>
        </w:rPr>
      </w:pPr>
    </w:p>
    <w:p w14:paraId="308CD345" w14:textId="77777777" w:rsidR="00DC504D" w:rsidRDefault="00DC504D">
      <w:pPr>
        <w:rPr>
          <w:rFonts w:ascii="Times New Roman" w:hAnsi="Times New Roman" w:cs="Times New Roman"/>
        </w:rPr>
      </w:pPr>
    </w:p>
    <w:p w14:paraId="649F2D46" w14:textId="77777777" w:rsidR="00DC504D" w:rsidRDefault="00DC504D">
      <w:pPr>
        <w:rPr>
          <w:rFonts w:ascii="Times New Roman" w:hAnsi="Times New Roman" w:cs="Times New Roman"/>
        </w:rPr>
      </w:pPr>
    </w:p>
    <w:p w14:paraId="04A316BB" w14:textId="7823FA46" w:rsidR="00DC504D" w:rsidRDefault="00DC504D">
      <w:pPr>
        <w:rPr>
          <w:rFonts w:ascii="Times New Roman" w:hAnsi="Times New Roman" w:cs="Times New Roman"/>
        </w:rPr>
      </w:pPr>
      <w:r>
        <w:rPr>
          <w:rFonts w:ascii="Times New Roman" w:hAnsi="Times New Roman" w:cs="Times New Roman"/>
        </w:rPr>
        <w:t>29</w:t>
      </w:r>
    </w:p>
    <w:p w14:paraId="56216D39" w14:textId="77777777" w:rsidR="00DC504D" w:rsidRDefault="00DC504D">
      <w:pPr>
        <w:rPr>
          <w:rFonts w:ascii="Times New Roman" w:hAnsi="Times New Roman" w:cs="Times New Roman"/>
        </w:rPr>
      </w:pPr>
    </w:p>
    <w:p w14:paraId="40094EF0" w14:textId="3C0E5B02" w:rsidR="00DC504D" w:rsidRDefault="00DC504D">
      <w:pPr>
        <w:rPr>
          <w:rFonts w:ascii="Times New Roman" w:hAnsi="Times New Roman" w:cs="Times New Roman"/>
        </w:rPr>
      </w:pPr>
      <w:r>
        <w:rPr>
          <w:rFonts w:ascii="Times New Roman" w:hAnsi="Times New Roman" w:cs="Times New Roman"/>
        </w:rPr>
        <w:t>Thorem 7</w:t>
      </w:r>
    </w:p>
    <w:p w14:paraId="083B4AC4" w14:textId="2F445B61" w:rsidR="00DC504D" w:rsidRDefault="00DC504D">
      <w:pPr>
        <w:rPr>
          <w:rFonts w:ascii="Times New Roman" w:hAnsi="Times New Roman" w:cs="Times New Roman"/>
        </w:rPr>
      </w:pPr>
      <w:r>
        <w:rPr>
          <w:rFonts w:ascii="Times New Roman" w:hAnsi="Times New Roman" w:cs="Times New Roman"/>
        </w:rPr>
        <w:t xml:space="preserve">     The marginal impacts of the foreign trade</w:t>
      </w:r>
      <w:r w:rsidR="00692239">
        <w:rPr>
          <w:rFonts w:ascii="Times New Roman" w:hAnsi="Times New Roman" w:cs="Times New Roman"/>
        </w:rPr>
        <w:t xml:space="preserve"> and</w:t>
      </w:r>
      <w:r>
        <w:rPr>
          <w:rFonts w:ascii="Times New Roman" w:hAnsi="Times New Roman" w:cs="Times New Roman"/>
        </w:rPr>
        <w:t xml:space="preserve"> payments </w:t>
      </w:r>
      <w:r w:rsidR="00692239">
        <w:rPr>
          <w:rFonts w:ascii="Times New Roman" w:hAnsi="Times New Roman" w:cs="Times New Roman"/>
        </w:rPr>
        <w:t xml:space="preserve">policies of the domestic economy’s foreign trade </w:t>
      </w:r>
      <w:r w:rsidR="00580725">
        <w:rPr>
          <w:rFonts w:ascii="Times New Roman" w:hAnsi="Times New Roman" w:cs="Times New Roman"/>
        </w:rPr>
        <w:t xml:space="preserve">and payments partner country on the level, growth, and </w:t>
      </w:r>
      <w:r w:rsidR="00C442DA">
        <w:rPr>
          <w:rFonts w:ascii="Times New Roman" w:hAnsi="Times New Roman" w:cs="Times New Roman"/>
        </w:rPr>
        <w:t xml:space="preserve">acceleration of the real aggregate output in the domestic economy and </w:t>
      </w:r>
      <w:r w:rsidR="007E1A35">
        <w:rPr>
          <w:rFonts w:ascii="Times New Roman" w:hAnsi="Times New Roman" w:cs="Times New Roman"/>
        </w:rPr>
        <w:t xml:space="preserve">the global economy are respectively given by (12a) – (21c) and (21d) – (21f): </w:t>
      </w:r>
    </w:p>
    <w:p w14:paraId="78D51CE2" w14:textId="77777777" w:rsidR="007E1A35" w:rsidRDefault="007E1A35">
      <w:pPr>
        <w:rPr>
          <w:rFonts w:ascii="Times New Roman" w:hAnsi="Times New Roman" w:cs="Times New Roman"/>
        </w:rPr>
      </w:pPr>
    </w:p>
    <w:p w14:paraId="06C1FEBA" w14:textId="36D1B42A" w:rsidR="007E1A35" w:rsidRDefault="007E1A35">
      <w:pPr>
        <w:rPr>
          <w:rFonts w:ascii="Times New Roman" w:hAnsi="Times New Roman" w:cs="Times New Roman"/>
        </w:rPr>
      </w:pPr>
      <w:r>
        <w:rPr>
          <w:rFonts w:ascii="Times New Roman" w:hAnsi="Times New Roman" w:cs="Times New Roman"/>
        </w:rPr>
        <w:t>Eqn 21 a b c d e f</w:t>
      </w:r>
    </w:p>
    <w:p w14:paraId="6F2D4B59" w14:textId="77777777" w:rsidR="007E1A35" w:rsidRDefault="007E1A35">
      <w:pPr>
        <w:rPr>
          <w:rFonts w:ascii="Times New Roman" w:hAnsi="Times New Roman" w:cs="Times New Roman"/>
        </w:rPr>
      </w:pPr>
    </w:p>
    <w:p w14:paraId="0BFB1F61" w14:textId="05C4B560" w:rsidR="007E1A35" w:rsidRDefault="007E1A35">
      <w:pPr>
        <w:rPr>
          <w:rFonts w:ascii="Times New Roman" w:hAnsi="Times New Roman" w:cs="Times New Roman"/>
        </w:rPr>
      </w:pPr>
      <w:r>
        <w:rPr>
          <w:rFonts w:ascii="Times New Roman" w:hAnsi="Times New Roman" w:cs="Times New Roman"/>
        </w:rPr>
        <w:t xml:space="preserve">Where all the variables </w:t>
      </w:r>
      <w:r w:rsidR="00051513">
        <w:rPr>
          <w:rFonts w:ascii="Times New Roman" w:hAnsi="Times New Roman" w:cs="Times New Roman"/>
        </w:rPr>
        <w:t xml:space="preserve">are as already indicated ; the first factor in each equation here is derived respectively from </w:t>
      </w:r>
      <w:r w:rsidR="000B4DE9">
        <w:rPr>
          <w:rFonts w:ascii="Times New Roman" w:hAnsi="Times New Roman" w:cs="Times New Roman"/>
        </w:rPr>
        <w:t xml:space="preserve">the equations in theorem 6 </w:t>
      </w:r>
    </w:p>
    <w:p w14:paraId="460BE093" w14:textId="77777777" w:rsidR="000B4DE9" w:rsidRDefault="000B4DE9">
      <w:pPr>
        <w:rPr>
          <w:rFonts w:ascii="Times New Roman" w:hAnsi="Times New Roman" w:cs="Times New Roman"/>
        </w:rPr>
      </w:pPr>
    </w:p>
    <w:p w14:paraId="06090E26" w14:textId="77777777" w:rsidR="000B4DE9" w:rsidRDefault="000B4DE9">
      <w:pPr>
        <w:rPr>
          <w:rFonts w:ascii="Times New Roman" w:hAnsi="Times New Roman" w:cs="Times New Roman"/>
        </w:rPr>
      </w:pPr>
    </w:p>
    <w:p w14:paraId="0C7530F7" w14:textId="77777777" w:rsidR="000B4DE9" w:rsidRDefault="000B4DE9">
      <w:pPr>
        <w:rPr>
          <w:rFonts w:ascii="Times New Roman" w:hAnsi="Times New Roman" w:cs="Times New Roman"/>
        </w:rPr>
      </w:pPr>
    </w:p>
    <w:p w14:paraId="7CA68C8E" w14:textId="56DB3C06" w:rsidR="000B4DE9" w:rsidRDefault="000B4DE9">
      <w:pPr>
        <w:rPr>
          <w:rFonts w:ascii="Times New Roman" w:hAnsi="Times New Roman" w:cs="Times New Roman"/>
        </w:rPr>
      </w:pPr>
      <w:r>
        <w:rPr>
          <w:rFonts w:ascii="Times New Roman" w:hAnsi="Times New Roman" w:cs="Times New Roman"/>
        </w:rPr>
        <w:t>30</w:t>
      </w:r>
    </w:p>
    <w:p w14:paraId="4BBB04D3" w14:textId="475FA302" w:rsidR="000B4DE9" w:rsidRDefault="000B4DE9">
      <w:pPr>
        <w:rPr>
          <w:rFonts w:ascii="Times New Roman" w:hAnsi="Times New Roman" w:cs="Times New Roman"/>
        </w:rPr>
      </w:pPr>
      <w:r>
        <w:rPr>
          <w:rFonts w:ascii="Times New Roman" w:hAnsi="Times New Roman" w:cs="Times New Roman"/>
        </w:rPr>
        <w:t>Whereas the second factor in each equation</w:t>
      </w:r>
      <w:r w:rsidR="004D1E50">
        <w:rPr>
          <w:rFonts w:ascii="Times New Roman" w:hAnsi="Times New Roman" w:cs="Times New Roman"/>
        </w:rPr>
        <w:t xml:space="preserve"> here theorem 7 is derived from theorem 2. </w:t>
      </w:r>
    </w:p>
    <w:p w14:paraId="24E46D63" w14:textId="77777777" w:rsidR="004D1E50" w:rsidRDefault="004D1E50">
      <w:pPr>
        <w:rPr>
          <w:rFonts w:ascii="Times New Roman" w:hAnsi="Times New Roman" w:cs="Times New Roman"/>
        </w:rPr>
      </w:pPr>
    </w:p>
    <w:p w14:paraId="7CCAD23E" w14:textId="1FFFC0D9" w:rsidR="004D1E50" w:rsidRDefault="004D1E50">
      <w:pPr>
        <w:rPr>
          <w:rFonts w:ascii="Times New Roman" w:hAnsi="Times New Roman" w:cs="Times New Roman"/>
        </w:rPr>
      </w:pPr>
      <w:r>
        <w:rPr>
          <w:rFonts w:ascii="Times New Roman" w:hAnsi="Times New Roman" w:cs="Times New Roman"/>
        </w:rPr>
        <w:t xml:space="preserve">     The proof of theorem 7 entails </w:t>
      </w:r>
      <w:r w:rsidR="00D72A15">
        <w:rPr>
          <w:rFonts w:ascii="Times New Roman" w:hAnsi="Times New Roman" w:cs="Times New Roman"/>
        </w:rPr>
        <w:t xml:space="preserve">the proof of (21a) – (21c) and (21d) –(21f), following the procedures </w:t>
      </w:r>
      <w:r w:rsidR="007702F8">
        <w:rPr>
          <w:rFonts w:ascii="Times New Roman" w:hAnsi="Times New Roman" w:cs="Times New Roman"/>
        </w:rPr>
        <w:t xml:space="preserve">which were utilized in the proofs of theorem 2 and theorem 6 as required. </w:t>
      </w:r>
    </w:p>
    <w:p w14:paraId="2ACAB9C1" w14:textId="657AD53B" w:rsidR="007702F8" w:rsidRDefault="007702F8">
      <w:pPr>
        <w:rPr>
          <w:rFonts w:ascii="Times New Roman" w:hAnsi="Times New Roman" w:cs="Times New Roman"/>
        </w:rPr>
      </w:pPr>
      <w:r>
        <w:rPr>
          <w:rFonts w:ascii="Times New Roman" w:hAnsi="Times New Roman" w:cs="Times New Roman"/>
        </w:rPr>
        <w:t>Q.E.D.</w:t>
      </w:r>
    </w:p>
    <w:p w14:paraId="769CA34D" w14:textId="12421803" w:rsidR="007702F8" w:rsidRDefault="007702F8">
      <w:pPr>
        <w:rPr>
          <w:rFonts w:ascii="Times New Roman" w:hAnsi="Times New Roman" w:cs="Times New Roman"/>
        </w:rPr>
      </w:pPr>
      <w:r>
        <w:rPr>
          <w:rFonts w:ascii="Times New Roman" w:hAnsi="Times New Roman" w:cs="Times New Roman"/>
        </w:rPr>
        <w:lastRenderedPageBreak/>
        <w:t xml:space="preserve">The proof of theorem 7 entails the proof of  (21a) – (21c) and (21d) </w:t>
      </w:r>
      <w:r w:rsidR="005E2908">
        <w:rPr>
          <w:rFonts w:ascii="Times New Roman" w:hAnsi="Times New Roman" w:cs="Times New Roman"/>
        </w:rPr>
        <w:t xml:space="preserve">– (21f), following the procedures which were utilized in the proofs of theorem 2 and theorem 6 as required. </w:t>
      </w:r>
    </w:p>
    <w:p w14:paraId="5687D2D1" w14:textId="71A73A46" w:rsidR="005E2908" w:rsidRDefault="005E2908">
      <w:pPr>
        <w:rPr>
          <w:rFonts w:ascii="Times New Roman" w:hAnsi="Times New Roman" w:cs="Times New Roman"/>
        </w:rPr>
      </w:pPr>
      <w:r>
        <w:rPr>
          <w:rFonts w:ascii="Times New Roman" w:hAnsi="Times New Roman" w:cs="Times New Roman"/>
        </w:rPr>
        <w:t xml:space="preserve">Q.E.D. </w:t>
      </w:r>
    </w:p>
    <w:p w14:paraId="651B2576" w14:textId="77777777" w:rsidR="005E2908" w:rsidRDefault="005E2908">
      <w:pPr>
        <w:rPr>
          <w:rFonts w:ascii="Times New Roman" w:hAnsi="Times New Roman" w:cs="Times New Roman"/>
        </w:rPr>
      </w:pPr>
    </w:p>
    <w:p w14:paraId="08D35B1B" w14:textId="77777777" w:rsidR="005E2908" w:rsidRDefault="005E2908">
      <w:pPr>
        <w:rPr>
          <w:rFonts w:ascii="Times New Roman" w:hAnsi="Times New Roman" w:cs="Times New Roman"/>
        </w:rPr>
      </w:pPr>
    </w:p>
    <w:p w14:paraId="49AB7810" w14:textId="29939B3B" w:rsidR="005E2908" w:rsidRDefault="005E2908">
      <w:pPr>
        <w:rPr>
          <w:rFonts w:ascii="Times New Roman" w:hAnsi="Times New Roman" w:cs="Times New Roman"/>
        </w:rPr>
      </w:pPr>
      <w:r>
        <w:rPr>
          <w:rFonts w:ascii="Times New Roman" w:hAnsi="Times New Roman" w:cs="Times New Roman"/>
        </w:rPr>
        <w:t>31</w:t>
      </w:r>
    </w:p>
    <w:p w14:paraId="6AEECD7E" w14:textId="267F92AE" w:rsidR="005E2908" w:rsidRDefault="005E2908">
      <w:pPr>
        <w:rPr>
          <w:rFonts w:ascii="Times New Roman" w:hAnsi="Times New Roman" w:cs="Times New Roman"/>
        </w:rPr>
      </w:pPr>
      <w:r>
        <w:rPr>
          <w:rFonts w:ascii="Times New Roman" w:hAnsi="Times New Roman" w:cs="Times New Roman"/>
        </w:rPr>
        <w:t>3. The Modelling Methodology.</w:t>
      </w:r>
    </w:p>
    <w:p w14:paraId="14FB8EEB" w14:textId="401BED12" w:rsidR="005E2908" w:rsidRDefault="005E2908">
      <w:pPr>
        <w:rPr>
          <w:rFonts w:ascii="Times New Roman" w:hAnsi="Times New Roman" w:cs="Times New Roman"/>
        </w:rPr>
      </w:pPr>
      <w:r>
        <w:rPr>
          <w:rFonts w:ascii="Times New Roman" w:hAnsi="Times New Roman" w:cs="Times New Roman"/>
        </w:rPr>
        <w:t xml:space="preserve">          The modelling </w:t>
      </w:r>
      <w:r w:rsidR="00401749">
        <w:rPr>
          <w:rFonts w:ascii="Times New Roman" w:hAnsi="Times New Roman" w:cs="Times New Roman"/>
        </w:rPr>
        <w:t xml:space="preserve">methodology of the present </w:t>
      </w:r>
      <w:r w:rsidR="00CC7C57">
        <w:rPr>
          <w:rFonts w:ascii="Times New Roman" w:hAnsi="Times New Roman" w:cs="Times New Roman"/>
        </w:rPr>
        <w:t xml:space="preserve">study </w:t>
      </w:r>
      <w:r w:rsidR="00821AC0">
        <w:rPr>
          <w:rFonts w:ascii="Times New Roman" w:hAnsi="Times New Roman" w:cs="Times New Roman"/>
        </w:rPr>
        <w:t xml:space="preserve">utilizes the novel general theory </w:t>
      </w:r>
      <w:r w:rsidR="00410BD4">
        <w:rPr>
          <w:rFonts w:ascii="Times New Roman" w:hAnsi="Times New Roman" w:cs="Times New Roman"/>
        </w:rPr>
        <w:t>already</w:t>
      </w:r>
      <w:r w:rsidR="00837814">
        <w:rPr>
          <w:rFonts w:ascii="Times New Roman" w:hAnsi="Times New Roman" w:cs="Times New Roman"/>
        </w:rPr>
        <w:t xml:space="preserve"> constructed </w:t>
      </w:r>
      <w:r w:rsidR="002F4D48">
        <w:rPr>
          <w:rFonts w:ascii="Times New Roman" w:hAnsi="Times New Roman" w:cs="Times New Roman"/>
        </w:rPr>
        <w:t xml:space="preserve">in section 2 as its theoretical foundation. The derived optional </w:t>
      </w:r>
      <w:r w:rsidR="00997224">
        <w:rPr>
          <w:rFonts w:ascii="Times New Roman" w:hAnsi="Times New Roman" w:cs="Times New Roman"/>
        </w:rPr>
        <w:t>long run</w:t>
      </w:r>
      <w:r w:rsidR="002245CC">
        <w:rPr>
          <w:rFonts w:ascii="Times New Roman" w:hAnsi="Times New Roman" w:cs="Times New Roman"/>
        </w:rPr>
        <w:t xml:space="preserve"> equilibrium functions for supply and factor demand </w:t>
      </w:r>
      <w:r w:rsidR="009C266F">
        <w:rPr>
          <w:rFonts w:ascii="Times New Roman" w:hAnsi="Times New Roman" w:cs="Times New Roman"/>
        </w:rPr>
        <w:t xml:space="preserve">functions in Lemma 1, coupled with the </w:t>
      </w:r>
      <w:r w:rsidR="00E917B6">
        <w:rPr>
          <w:rFonts w:ascii="Times New Roman" w:hAnsi="Times New Roman" w:cs="Times New Roman"/>
        </w:rPr>
        <w:t>derived equilibrium correction functions in theorem 1</w:t>
      </w:r>
      <w:r w:rsidR="00D73E68">
        <w:rPr>
          <w:rFonts w:ascii="Times New Roman" w:hAnsi="Times New Roman" w:cs="Times New Roman"/>
        </w:rPr>
        <w:t xml:space="preserve">consitute this study’s </w:t>
      </w:r>
      <w:r w:rsidR="006E3F31">
        <w:rPr>
          <w:rFonts w:ascii="Times New Roman" w:hAnsi="Times New Roman" w:cs="Times New Roman"/>
        </w:rPr>
        <w:t xml:space="preserve">novel general modelling methodology which is not </w:t>
      </w:r>
      <w:r w:rsidR="00E0744E">
        <w:rPr>
          <w:rFonts w:ascii="Times New Roman" w:hAnsi="Times New Roman" w:cs="Times New Roman"/>
        </w:rPr>
        <w:t xml:space="preserve">only novel </w:t>
      </w:r>
      <w:r w:rsidR="005D7558">
        <w:rPr>
          <w:rFonts w:ascii="Times New Roman" w:hAnsi="Times New Roman" w:cs="Times New Roman"/>
        </w:rPr>
        <w:t>but also adequately general</w:t>
      </w:r>
      <w:r w:rsidR="00AE0D93">
        <w:rPr>
          <w:rFonts w:ascii="Times New Roman" w:hAnsi="Times New Roman" w:cs="Times New Roman"/>
        </w:rPr>
        <w:t xml:space="preserve">; and this </w:t>
      </w:r>
      <w:r w:rsidR="00F06ACA">
        <w:rPr>
          <w:rFonts w:ascii="Times New Roman" w:hAnsi="Times New Roman" w:cs="Times New Roman"/>
        </w:rPr>
        <w:t xml:space="preserve">makes it applicable to open economies and the </w:t>
      </w:r>
      <w:r w:rsidR="00B67353">
        <w:rPr>
          <w:rFonts w:ascii="Times New Roman" w:hAnsi="Times New Roman" w:cs="Times New Roman"/>
        </w:rPr>
        <w:t xml:space="preserve">global economy as a whole. The parameters of these functions </w:t>
      </w:r>
      <w:r w:rsidR="00305169">
        <w:rPr>
          <w:rFonts w:ascii="Times New Roman" w:hAnsi="Times New Roman" w:cs="Times New Roman"/>
        </w:rPr>
        <w:t xml:space="preserve">and the hypotheses testing in respect </w:t>
      </w:r>
      <w:r w:rsidR="007828E4">
        <w:rPr>
          <w:rFonts w:ascii="Times New Roman" w:hAnsi="Times New Roman" w:cs="Times New Roman"/>
        </w:rPr>
        <w:t xml:space="preserve">of these parameters can be undertaken </w:t>
      </w:r>
      <w:r w:rsidR="00A63B5D">
        <w:rPr>
          <w:rFonts w:ascii="Times New Roman" w:hAnsi="Times New Roman" w:cs="Times New Roman"/>
        </w:rPr>
        <w:t xml:space="preserve">by utilizing conventional estimation and </w:t>
      </w:r>
      <w:r w:rsidR="00274265">
        <w:rPr>
          <w:rFonts w:ascii="Times New Roman" w:hAnsi="Times New Roman" w:cs="Times New Roman"/>
        </w:rPr>
        <w:t xml:space="preserve">PVOEV – Related hypotheses testing </w:t>
      </w:r>
      <w:r w:rsidR="00A00B84">
        <w:rPr>
          <w:rFonts w:ascii="Times New Roman" w:hAnsi="Times New Roman" w:cs="Times New Roman"/>
        </w:rPr>
        <w:t xml:space="preserve">procedures (see for instance, </w:t>
      </w:r>
      <w:r w:rsidR="00A96B45">
        <w:rPr>
          <w:rFonts w:ascii="Times New Roman" w:hAnsi="Times New Roman" w:cs="Times New Roman"/>
        </w:rPr>
        <w:t xml:space="preserve">Fomby, Hill and Johnson 1984, </w:t>
      </w:r>
      <w:r w:rsidR="00BE503F">
        <w:rPr>
          <w:rFonts w:ascii="Times New Roman" w:hAnsi="Times New Roman" w:cs="Times New Roman"/>
        </w:rPr>
        <w:t xml:space="preserve">Judge, et al., 1985, Eagle and </w:t>
      </w:r>
      <w:r w:rsidR="0098699D">
        <w:rPr>
          <w:rFonts w:ascii="Times New Roman" w:hAnsi="Times New Roman" w:cs="Times New Roman"/>
        </w:rPr>
        <w:t xml:space="preserve">Granger 1987, Yerfi Fosu 1992). </w:t>
      </w:r>
    </w:p>
    <w:p w14:paraId="04C2D3AC" w14:textId="445CB2D8" w:rsidR="0098699D" w:rsidRDefault="0098699D">
      <w:pPr>
        <w:rPr>
          <w:rFonts w:ascii="Times New Roman" w:hAnsi="Times New Roman" w:cs="Times New Roman"/>
        </w:rPr>
      </w:pPr>
      <w:r>
        <w:rPr>
          <w:rFonts w:ascii="Times New Roman" w:hAnsi="Times New Roman" w:cs="Times New Roman"/>
        </w:rPr>
        <w:t xml:space="preserve">         The relevant long term </w:t>
      </w:r>
      <w:r w:rsidR="001C562D">
        <w:rPr>
          <w:rFonts w:ascii="Times New Roman" w:hAnsi="Times New Roman" w:cs="Times New Roman"/>
        </w:rPr>
        <w:t xml:space="preserve">time series data required to execute this modeling methodology </w:t>
      </w:r>
      <w:r w:rsidR="004C34CF">
        <w:rPr>
          <w:rFonts w:ascii="Times New Roman" w:hAnsi="Times New Roman" w:cs="Times New Roman"/>
        </w:rPr>
        <w:t xml:space="preserve">on the Real world empirical </w:t>
      </w:r>
      <w:r w:rsidR="00597AB2">
        <w:rPr>
          <w:rFonts w:ascii="Times New Roman" w:hAnsi="Times New Roman" w:cs="Times New Roman"/>
        </w:rPr>
        <w:t xml:space="preserve">front can be sourced from the offices of statistics </w:t>
      </w:r>
      <w:r w:rsidR="001D53D3">
        <w:rPr>
          <w:rFonts w:ascii="Times New Roman" w:hAnsi="Times New Roman" w:cs="Times New Roman"/>
        </w:rPr>
        <w:t>in a given country or countries, supplemen</w:t>
      </w:r>
      <w:r w:rsidR="00457BF6">
        <w:rPr>
          <w:rFonts w:ascii="Times New Roman" w:hAnsi="Times New Roman" w:cs="Times New Roman"/>
        </w:rPr>
        <w:t xml:space="preserve">t with data from the time series databases of multilateral </w:t>
      </w:r>
      <w:r w:rsidR="008F6816">
        <w:rPr>
          <w:rFonts w:ascii="Times New Roman" w:hAnsi="Times New Roman" w:cs="Times New Roman"/>
        </w:rPr>
        <w:t>institutions like the United Nations’</w:t>
      </w:r>
      <w:r w:rsidR="00FF78CA">
        <w:rPr>
          <w:rFonts w:ascii="Times New Roman" w:hAnsi="Times New Roman" w:cs="Times New Roman"/>
        </w:rPr>
        <w:t xml:space="preserve"> IMF, The World Bank, UNIC</w:t>
      </w:r>
      <w:r w:rsidR="00784B62">
        <w:rPr>
          <w:rFonts w:ascii="Times New Roman" w:hAnsi="Times New Roman" w:cs="Times New Roman"/>
        </w:rPr>
        <w:t xml:space="preserve">TAD, FAO, ILO, WTO, coupled with OECD, </w:t>
      </w:r>
      <w:r w:rsidR="00DB5EE7">
        <w:rPr>
          <w:rFonts w:ascii="Times New Roman" w:hAnsi="Times New Roman" w:cs="Times New Roman"/>
        </w:rPr>
        <w:t>inter alia.</w:t>
      </w:r>
    </w:p>
    <w:p w14:paraId="3CB19E45" w14:textId="77777777" w:rsidR="009B4CAA" w:rsidRDefault="009B4CAA">
      <w:pPr>
        <w:rPr>
          <w:rFonts w:ascii="Times New Roman" w:hAnsi="Times New Roman" w:cs="Times New Roman"/>
        </w:rPr>
      </w:pPr>
    </w:p>
    <w:p w14:paraId="10A5DF23" w14:textId="107F8C2D" w:rsidR="009B4CAA" w:rsidRDefault="009B4CAA">
      <w:pPr>
        <w:rPr>
          <w:rFonts w:ascii="Times New Roman" w:hAnsi="Times New Roman" w:cs="Times New Roman"/>
        </w:rPr>
      </w:pPr>
      <w:r>
        <w:rPr>
          <w:rFonts w:ascii="Times New Roman" w:hAnsi="Times New Roman" w:cs="Times New Roman"/>
        </w:rPr>
        <w:t>32</w:t>
      </w:r>
      <w:r w:rsidR="00392116">
        <w:rPr>
          <w:rFonts w:ascii="Times New Roman" w:hAnsi="Times New Roman" w:cs="Times New Roman"/>
        </w:rPr>
        <w:t xml:space="preserve"> </w:t>
      </w:r>
    </w:p>
    <w:p w14:paraId="67F078E6" w14:textId="04C4BDF6" w:rsidR="00392116" w:rsidRDefault="00392116">
      <w:pPr>
        <w:rPr>
          <w:rFonts w:ascii="Times New Roman" w:hAnsi="Times New Roman" w:cs="Times New Roman"/>
        </w:rPr>
      </w:pPr>
      <w:r>
        <w:rPr>
          <w:rFonts w:ascii="Times New Roman" w:hAnsi="Times New Roman" w:cs="Times New Roman"/>
        </w:rPr>
        <w:t>Research Results and Policy Implications.</w:t>
      </w:r>
    </w:p>
    <w:p w14:paraId="6B252088" w14:textId="77777777" w:rsidR="00800B49" w:rsidRDefault="00392116">
      <w:pPr>
        <w:rPr>
          <w:rFonts w:ascii="Times New Roman" w:hAnsi="Times New Roman" w:cs="Times New Roman"/>
        </w:rPr>
      </w:pPr>
      <w:r>
        <w:rPr>
          <w:rFonts w:ascii="Times New Roman" w:hAnsi="Times New Roman" w:cs="Times New Roman"/>
        </w:rPr>
        <w:t xml:space="preserve">     It </w:t>
      </w:r>
      <w:r w:rsidR="00E75795">
        <w:rPr>
          <w:rFonts w:ascii="Times New Roman" w:hAnsi="Times New Roman" w:cs="Times New Roman"/>
        </w:rPr>
        <w:t xml:space="preserve">has  been observed in this study’s </w:t>
      </w:r>
      <w:r w:rsidR="005240D8">
        <w:rPr>
          <w:rFonts w:ascii="Times New Roman" w:hAnsi="Times New Roman" w:cs="Times New Roman"/>
        </w:rPr>
        <w:t>constructed novel genera</w:t>
      </w:r>
      <w:r w:rsidR="00422688">
        <w:rPr>
          <w:rFonts w:ascii="Times New Roman" w:hAnsi="Times New Roman" w:cs="Times New Roman"/>
        </w:rPr>
        <w:t>l theory that</w:t>
      </w:r>
      <w:r w:rsidR="005365C7">
        <w:rPr>
          <w:rFonts w:ascii="Times New Roman" w:hAnsi="Times New Roman" w:cs="Times New Roman"/>
        </w:rPr>
        <w:t xml:space="preserve">, among others, the optimal long run equilibrium output supply </w:t>
      </w:r>
      <w:r w:rsidR="00FF33E3">
        <w:rPr>
          <w:rFonts w:ascii="Times New Roman" w:hAnsi="Times New Roman" w:cs="Times New Roman"/>
        </w:rPr>
        <w:t xml:space="preserve">volumes of the monetary and financial system instruments are </w:t>
      </w:r>
      <w:r w:rsidR="00B03494">
        <w:rPr>
          <w:rFonts w:ascii="Times New Roman" w:hAnsi="Times New Roman" w:cs="Times New Roman"/>
        </w:rPr>
        <w:t xml:space="preserve">determined by the unit prices (returns) of these monetary financial </w:t>
      </w:r>
      <w:r w:rsidR="00113AFA">
        <w:rPr>
          <w:rFonts w:ascii="Times New Roman" w:hAnsi="Times New Roman" w:cs="Times New Roman"/>
        </w:rPr>
        <w:t xml:space="preserve">system instruments and other products, </w:t>
      </w:r>
      <w:r w:rsidR="00E938D2">
        <w:rPr>
          <w:rFonts w:ascii="Times New Roman" w:hAnsi="Times New Roman" w:cs="Times New Roman"/>
        </w:rPr>
        <w:t xml:space="preserve">as well as unit prices (costs) of factor inputs </w:t>
      </w:r>
      <w:r w:rsidR="00AA575F">
        <w:rPr>
          <w:rFonts w:ascii="Times New Roman" w:hAnsi="Times New Roman" w:cs="Times New Roman"/>
        </w:rPr>
        <w:t xml:space="preserve">employed to produce all the </w:t>
      </w:r>
      <w:r w:rsidR="00FA484F">
        <w:rPr>
          <w:rFonts w:ascii="Times New Roman" w:hAnsi="Times New Roman" w:cs="Times New Roman"/>
        </w:rPr>
        <w:t xml:space="preserve">physical quantities of the output produced </w:t>
      </w:r>
      <w:r w:rsidR="00921263">
        <w:rPr>
          <w:rFonts w:ascii="Times New Roman" w:hAnsi="Times New Roman" w:cs="Times New Roman"/>
        </w:rPr>
        <w:t xml:space="preserve">in a given open economy. In addition, these </w:t>
      </w:r>
      <w:r w:rsidR="00C06EDE">
        <w:rPr>
          <w:rFonts w:ascii="Times New Roman" w:hAnsi="Times New Roman" w:cs="Times New Roman"/>
        </w:rPr>
        <w:t xml:space="preserve">determinants coupled with respective shares of the </w:t>
      </w:r>
      <w:r w:rsidR="00955111">
        <w:rPr>
          <w:rFonts w:ascii="Times New Roman" w:hAnsi="Times New Roman" w:cs="Times New Roman"/>
        </w:rPr>
        <w:t xml:space="preserve">countries in the global economy constitute </w:t>
      </w:r>
      <w:r w:rsidR="00944AD8">
        <w:rPr>
          <w:rFonts w:ascii="Times New Roman" w:hAnsi="Times New Roman" w:cs="Times New Roman"/>
        </w:rPr>
        <w:t xml:space="preserve">the factors which determine the global economy </w:t>
      </w:r>
      <w:r w:rsidR="006D1FE8">
        <w:rPr>
          <w:rFonts w:ascii="Times New Roman" w:hAnsi="Times New Roman" w:cs="Times New Roman"/>
        </w:rPr>
        <w:t xml:space="preserve">constitute the factors which determine the </w:t>
      </w:r>
      <w:r w:rsidR="000C3F03">
        <w:rPr>
          <w:rFonts w:ascii="Times New Roman" w:hAnsi="Times New Roman" w:cs="Times New Roman"/>
        </w:rPr>
        <w:t xml:space="preserve">volumes of the monetary and financial system instruments in the entire global </w:t>
      </w:r>
      <w:r w:rsidR="00451CBF">
        <w:rPr>
          <w:rFonts w:ascii="Times New Roman" w:hAnsi="Times New Roman" w:cs="Times New Roman"/>
        </w:rPr>
        <w:t xml:space="preserve">economy. Furthermore, this study observes that in the long </w:t>
      </w:r>
      <w:r w:rsidR="00BE5F6D">
        <w:rPr>
          <w:rFonts w:ascii="Times New Roman" w:hAnsi="Times New Roman" w:cs="Times New Roman"/>
        </w:rPr>
        <w:t xml:space="preserve">run, the </w:t>
      </w:r>
      <w:r w:rsidR="00291D3B">
        <w:rPr>
          <w:rFonts w:ascii="Times New Roman" w:hAnsi="Times New Roman" w:cs="Times New Roman"/>
        </w:rPr>
        <w:t xml:space="preserve">volume of </w:t>
      </w:r>
      <w:r w:rsidR="003C1247">
        <w:rPr>
          <w:rFonts w:ascii="Times New Roman" w:hAnsi="Times New Roman" w:cs="Times New Roman"/>
        </w:rPr>
        <w:t xml:space="preserve">output supply of  a given monetary </w:t>
      </w:r>
      <w:r w:rsidR="0098130D">
        <w:rPr>
          <w:rFonts w:ascii="Times New Roman" w:hAnsi="Times New Roman" w:cs="Times New Roman"/>
        </w:rPr>
        <w:t xml:space="preserve">or financial instruments tends </w:t>
      </w:r>
      <w:r w:rsidR="00970D68">
        <w:rPr>
          <w:rFonts w:ascii="Times New Roman" w:hAnsi="Times New Roman" w:cs="Times New Roman"/>
        </w:rPr>
        <w:t xml:space="preserve">to increase (decrease) when its unit price </w:t>
      </w:r>
      <w:r w:rsidR="00390612">
        <w:rPr>
          <w:rFonts w:ascii="Times New Roman" w:hAnsi="Times New Roman" w:cs="Times New Roman"/>
        </w:rPr>
        <w:t xml:space="preserve">or returns, the prices of other </w:t>
      </w:r>
      <w:r w:rsidR="00620321">
        <w:rPr>
          <w:rFonts w:ascii="Times New Roman" w:hAnsi="Times New Roman" w:cs="Times New Roman"/>
        </w:rPr>
        <w:t>monetary and financial in</w:t>
      </w:r>
      <w:r w:rsidR="004E634B">
        <w:rPr>
          <w:rFonts w:ascii="Times New Roman" w:hAnsi="Times New Roman" w:cs="Times New Roman"/>
        </w:rPr>
        <w:t>struments</w:t>
      </w:r>
      <w:r w:rsidR="00620321">
        <w:rPr>
          <w:rFonts w:ascii="Times New Roman" w:hAnsi="Times New Roman" w:cs="Times New Roman"/>
        </w:rPr>
        <w:t xml:space="preserve"> which are </w:t>
      </w:r>
      <w:r w:rsidR="004E634B">
        <w:rPr>
          <w:rFonts w:ascii="Times New Roman" w:hAnsi="Times New Roman" w:cs="Times New Roman"/>
        </w:rPr>
        <w:t xml:space="preserve">complementary </w:t>
      </w:r>
      <w:r w:rsidR="00A82C81">
        <w:rPr>
          <w:rFonts w:ascii="Times New Roman" w:hAnsi="Times New Roman" w:cs="Times New Roman"/>
        </w:rPr>
        <w:t xml:space="preserve">(Substitute) also </w:t>
      </w:r>
      <w:r w:rsidR="00A82C81">
        <w:rPr>
          <w:rFonts w:ascii="Times New Roman" w:hAnsi="Times New Roman" w:cs="Times New Roman"/>
        </w:rPr>
        <w:lastRenderedPageBreak/>
        <w:t>increase</w:t>
      </w:r>
      <w:r w:rsidR="000709F4">
        <w:rPr>
          <w:rFonts w:ascii="Times New Roman" w:hAnsi="Times New Roman" w:cs="Times New Roman"/>
        </w:rPr>
        <w:t xml:space="preserve"> (decrease)</w:t>
      </w:r>
      <w:r w:rsidR="00F67EF0">
        <w:rPr>
          <w:rFonts w:ascii="Times New Roman" w:hAnsi="Times New Roman" w:cs="Times New Roman"/>
        </w:rPr>
        <w:t>, as well as when the prices (cost) of the factor inputs</w:t>
      </w:r>
      <w:r w:rsidR="00BD079A">
        <w:rPr>
          <w:rFonts w:ascii="Times New Roman" w:hAnsi="Times New Roman" w:cs="Times New Roman"/>
        </w:rPr>
        <w:t xml:space="preserve"> decrease </w:t>
      </w:r>
      <w:r w:rsidR="00362825">
        <w:rPr>
          <w:rFonts w:ascii="Times New Roman" w:hAnsi="Times New Roman" w:cs="Times New Roman"/>
        </w:rPr>
        <w:t xml:space="preserve">(decrease), as well as when the prices </w:t>
      </w:r>
      <w:r w:rsidR="00024F74">
        <w:rPr>
          <w:rFonts w:ascii="Times New Roman" w:hAnsi="Times New Roman" w:cs="Times New Roman"/>
        </w:rPr>
        <w:t xml:space="preserve">(cost) of factor inputs decrease (increase), ceteris </w:t>
      </w:r>
      <w:r w:rsidR="00E37313">
        <w:rPr>
          <w:rFonts w:ascii="Times New Roman" w:hAnsi="Times New Roman" w:cs="Times New Roman"/>
        </w:rPr>
        <w:t>paribus (recall Lemma 1and the remarks on Lemma 1)</w:t>
      </w:r>
      <w:r w:rsidR="00632B44">
        <w:rPr>
          <w:rFonts w:ascii="Times New Roman" w:hAnsi="Times New Roman" w:cs="Times New Roman"/>
        </w:rPr>
        <w:t xml:space="preserve">. In addition, when the share of a given country in the volume of the global </w:t>
      </w:r>
      <w:r w:rsidR="00E33A9A">
        <w:rPr>
          <w:rFonts w:ascii="Times New Roman" w:hAnsi="Times New Roman" w:cs="Times New Roman"/>
        </w:rPr>
        <w:t xml:space="preserve">monetary and financial instruments </w:t>
      </w:r>
      <w:r w:rsidR="00C95DDE">
        <w:rPr>
          <w:rFonts w:ascii="Times New Roman" w:hAnsi="Times New Roman" w:cs="Times New Roman"/>
        </w:rPr>
        <w:t>increases (decreases), this volume trends to increase</w:t>
      </w:r>
      <w:r w:rsidR="00800B49">
        <w:rPr>
          <w:rFonts w:ascii="Times New Roman" w:hAnsi="Times New Roman" w:cs="Times New Roman"/>
        </w:rPr>
        <w:t xml:space="preserve"> (decrease), ceteris paribus (recall Lemma 2). </w:t>
      </w:r>
    </w:p>
    <w:p w14:paraId="52093FA9" w14:textId="77777777" w:rsidR="00800B49" w:rsidRDefault="00800B49">
      <w:pPr>
        <w:rPr>
          <w:rFonts w:ascii="Times New Roman" w:hAnsi="Times New Roman" w:cs="Times New Roman"/>
        </w:rPr>
      </w:pPr>
    </w:p>
    <w:p w14:paraId="66ED05DB" w14:textId="77777777" w:rsidR="00800B49" w:rsidRDefault="00800B49">
      <w:pPr>
        <w:rPr>
          <w:rFonts w:ascii="Times New Roman" w:hAnsi="Times New Roman" w:cs="Times New Roman"/>
        </w:rPr>
      </w:pPr>
      <w:r>
        <w:rPr>
          <w:rFonts w:ascii="Times New Roman" w:hAnsi="Times New Roman" w:cs="Times New Roman"/>
        </w:rPr>
        <w:t>33</w:t>
      </w:r>
    </w:p>
    <w:p w14:paraId="4FA78420" w14:textId="77777777" w:rsidR="00800B49" w:rsidRDefault="00800B49">
      <w:pPr>
        <w:rPr>
          <w:rFonts w:ascii="Times New Roman" w:hAnsi="Times New Roman" w:cs="Times New Roman"/>
        </w:rPr>
      </w:pPr>
    </w:p>
    <w:p w14:paraId="55C70536" w14:textId="04E58754" w:rsidR="00392116" w:rsidRDefault="00B20280">
      <w:pPr>
        <w:rPr>
          <w:rFonts w:ascii="Times New Roman" w:hAnsi="Times New Roman" w:cs="Times New Roman"/>
        </w:rPr>
      </w:pPr>
      <w:r>
        <w:rPr>
          <w:rFonts w:ascii="Times New Roman" w:hAnsi="Times New Roman" w:cs="Times New Roman"/>
        </w:rPr>
        <w:t xml:space="preserve">Another important observation of the study is that, in the short run, economic </w:t>
      </w:r>
      <w:r w:rsidR="00937436">
        <w:rPr>
          <w:rFonts w:ascii="Times New Roman" w:hAnsi="Times New Roman" w:cs="Times New Roman"/>
        </w:rPr>
        <w:t xml:space="preserve">inertia or frictions  like the inability of the relevant economic agents to </w:t>
      </w:r>
      <w:r w:rsidR="00D01332">
        <w:rPr>
          <w:rFonts w:ascii="Times New Roman" w:hAnsi="Times New Roman" w:cs="Times New Roman"/>
        </w:rPr>
        <w:t xml:space="preserve">perceive the changes in the aforementioned long run determinants </w:t>
      </w:r>
      <w:r w:rsidR="00590690">
        <w:rPr>
          <w:rFonts w:ascii="Times New Roman" w:hAnsi="Times New Roman" w:cs="Times New Roman"/>
        </w:rPr>
        <w:t>of the volumes of the monetary and financial instruments</w:t>
      </w:r>
      <w:r w:rsidR="00396BA8">
        <w:rPr>
          <w:rFonts w:ascii="Times New Roman" w:hAnsi="Times New Roman" w:cs="Times New Roman"/>
        </w:rPr>
        <w:t>; hence, thei</w:t>
      </w:r>
      <w:r w:rsidR="00BB4278">
        <w:rPr>
          <w:rFonts w:ascii="Times New Roman" w:hAnsi="Times New Roman" w:cs="Times New Roman"/>
        </w:rPr>
        <w:t xml:space="preserve">r </w:t>
      </w:r>
      <w:r w:rsidR="00354C9A">
        <w:rPr>
          <w:rFonts w:ascii="Times New Roman" w:hAnsi="Times New Roman" w:cs="Times New Roman"/>
        </w:rPr>
        <w:t xml:space="preserve">adjustments or responses to these </w:t>
      </w:r>
      <w:r w:rsidR="00D4352B">
        <w:rPr>
          <w:rFonts w:ascii="Times New Roman" w:hAnsi="Times New Roman" w:cs="Times New Roman"/>
        </w:rPr>
        <w:t>changes are not instantaneous</w:t>
      </w:r>
      <w:r w:rsidR="00326036">
        <w:rPr>
          <w:rFonts w:ascii="Times New Roman" w:hAnsi="Times New Roman" w:cs="Times New Roman"/>
        </w:rPr>
        <w:t xml:space="preserve">, and this precipitates disequilibrium in the actual </w:t>
      </w:r>
      <w:r w:rsidR="000140CD">
        <w:rPr>
          <w:rFonts w:ascii="Times New Roman" w:hAnsi="Times New Roman" w:cs="Times New Roman"/>
        </w:rPr>
        <w:t xml:space="preserve">observable levels of these </w:t>
      </w:r>
      <w:r w:rsidR="004720CA">
        <w:rPr>
          <w:rFonts w:ascii="Times New Roman" w:hAnsi="Times New Roman" w:cs="Times New Roman"/>
        </w:rPr>
        <w:t>volum</w:t>
      </w:r>
      <w:r w:rsidR="001C43F0">
        <w:rPr>
          <w:rFonts w:ascii="Times New Roman" w:hAnsi="Times New Roman" w:cs="Times New Roman"/>
        </w:rPr>
        <w:t>es relative to their aforementioned</w:t>
      </w:r>
      <w:r w:rsidR="00254185">
        <w:rPr>
          <w:rFonts w:ascii="Times New Roman" w:hAnsi="Times New Roman" w:cs="Times New Roman"/>
        </w:rPr>
        <w:t xml:space="preserve"> corresponding optimal long run </w:t>
      </w:r>
      <w:r w:rsidR="00B21827">
        <w:rPr>
          <w:rFonts w:ascii="Times New Roman" w:hAnsi="Times New Roman" w:cs="Times New Roman"/>
        </w:rPr>
        <w:t xml:space="preserve">equilibrium levels. However, as </w:t>
      </w:r>
      <w:r w:rsidR="003E1CFA">
        <w:rPr>
          <w:rFonts w:ascii="Times New Roman" w:hAnsi="Times New Roman" w:cs="Times New Roman"/>
        </w:rPr>
        <w:t xml:space="preserve">strength of these frictions ease over </w:t>
      </w:r>
      <w:r w:rsidR="006E057B">
        <w:rPr>
          <w:rFonts w:ascii="Times New Roman" w:hAnsi="Times New Roman" w:cs="Times New Roman"/>
        </w:rPr>
        <w:t xml:space="preserve">time, these short run </w:t>
      </w:r>
      <w:r w:rsidR="00D55229">
        <w:rPr>
          <w:rFonts w:ascii="Times New Roman" w:hAnsi="Times New Roman" w:cs="Times New Roman"/>
        </w:rPr>
        <w:t>disequilibria are corrected (removed)</w:t>
      </w:r>
      <w:r w:rsidR="005133ED">
        <w:rPr>
          <w:rFonts w:ascii="Times New Roman" w:hAnsi="Times New Roman" w:cs="Times New Roman"/>
        </w:rPr>
        <w:t xml:space="preserve"> automatically,</w:t>
      </w:r>
      <w:r w:rsidR="000709F4">
        <w:rPr>
          <w:rFonts w:ascii="Times New Roman" w:hAnsi="Times New Roman" w:cs="Times New Roman"/>
        </w:rPr>
        <w:t xml:space="preserve"> </w:t>
      </w:r>
      <w:r w:rsidR="005133ED">
        <w:rPr>
          <w:rFonts w:ascii="Times New Roman" w:hAnsi="Times New Roman" w:cs="Times New Roman"/>
        </w:rPr>
        <w:t xml:space="preserve">depending upon the </w:t>
      </w:r>
      <w:r w:rsidR="001423C4">
        <w:rPr>
          <w:rFonts w:ascii="Times New Roman" w:hAnsi="Times New Roman" w:cs="Times New Roman"/>
        </w:rPr>
        <w:t xml:space="preserve">degree of competition </w:t>
      </w:r>
      <w:r w:rsidR="00CF0CC2">
        <w:rPr>
          <w:rFonts w:ascii="Times New Roman" w:hAnsi="Times New Roman" w:cs="Times New Roman"/>
        </w:rPr>
        <w:t xml:space="preserve">in the monetary </w:t>
      </w:r>
      <w:r w:rsidR="008E6278">
        <w:rPr>
          <w:rFonts w:ascii="Times New Roman" w:hAnsi="Times New Roman" w:cs="Times New Roman"/>
        </w:rPr>
        <w:t xml:space="preserve">and financial instruments’ markets. </w:t>
      </w:r>
      <w:r w:rsidR="004F468F">
        <w:rPr>
          <w:rFonts w:ascii="Times New Roman" w:hAnsi="Times New Roman" w:cs="Times New Roman"/>
        </w:rPr>
        <w:t xml:space="preserve">The parameter attached to the deviations </w:t>
      </w:r>
      <w:r w:rsidR="00C708B6">
        <w:rPr>
          <w:rFonts w:ascii="Times New Roman" w:hAnsi="Times New Roman" w:cs="Times New Roman"/>
        </w:rPr>
        <w:t xml:space="preserve">of the actual (observable) </w:t>
      </w:r>
      <w:r w:rsidR="00822CB6">
        <w:rPr>
          <w:rFonts w:ascii="Times New Roman" w:hAnsi="Times New Roman" w:cs="Times New Roman"/>
        </w:rPr>
        <w:t xml:space="preserve">levels of the relevant volumes of the aforementioned monetary and </w:t>
      </w:r>
      <w:r w:rsidR="00236BA0">
        <w:rPr>
          <w:rFonts w:ascii="Times New Roman" w:hAnsi="Times New Roman" w:cs="Times New Roman"/>
        </w:rPr>
        <w:t xml:space="preserve">financial instruments from their respective </w:t>
      </w:r>
      <w:r w:rsidR="00884D56">
        <w:rPr>
          <w:rFonts w:ascii="Times New Roman" w:hAnsi="Times New Roman" w:cs="Times New Roman"/>
        </w:rPr>
        <w:t>optimal long run equilibrium levels in the relevant equilibrium</w:t>
      </w:r>
      <w:r w:rsidR="005C5333">
        <w:rPr>
          <w:rFonts w:ascii="Times New Roman" w:hAnsi="Times New Roman" w:cs="Times New Roman"/>
        </w:rPr>
        <w:t xml:space="preserve"> correction relationship</w:t>
      </w:r>
      <w:r w:rsidR="001B5248">
        <w:rPr>
          <w:rFonts w:ascii="Times New Roman" w:hAnsi="Times New Roman" w:cs="Times New Roman"/>
        </w:rPr>
        <w:t xml:space="preserve">s conditions the measure of the aforementioned </w:t>
      </w:r>
      <w:r w:rsidR="00F97A43">
        <w:rPr>
          <w:rFonts w:ascii="Times New Roman" w:hAnsi="Times New Roman" w:cs="Times New Roman"/>
        </w:rPr>
        <w:t xml:space="preserve">degree of </w:t>
      </w:r>
      <w:r w:rsidR="00783825">
        <w:rPr>
          <w:rFonts w:ascii="Times New Roman" w:hAnsi="Times New Roman" w:cs="Times New Roman"/>
        </w:rPr>
        <w:t>competition.</w:t>
      </w:r>
      <w:r w:rsidR="00F97A43">
        <w:rPr>
          <w:rFonts w:ascii="Times New Roman" w:hAnsi="Times New Roman" w:cs="Times New Roman"/>
        </w:rPr>
        <w:t xml:space="preserve"> when this </w:t>
      </w:r>
      <w:r w:rsidR="00024328">
        <w:rPr>
          <w:rFonts w:ascii="Times New Roman" w:hAnsi="Times New Roman" w:cs="Times New Roman"/>
        </w:rPr>
        <w:t>parameter is close to 1.0 (viz., 100 percent)</w:t>
      </w:r>
      <w:r w:rsidR="00783825">
        <w:rPr>
          <w:rFonts w:ascii="Times New Roman" w:hAnsi="Times New Roman" w:cs="Times New Roman"/>
        </w:rPr>
        <w:t xml:space="preserve">, then degree of this competition </w:t>
      </w:r>
      <w:r w:rsidR="00381A08">
        <w:rPr>
          <w:rFonts w:ascii="Times New Roman" w:hAnsi="Times New Roman" w:cs="Times New Roman"/>
        </w:rPr>
        <w:t xml:space="preserve">is very high, whereas when it is </w:t>
      </w:r>
      <w:r w:rsidR="00A359C6">
        <w:rPr>
          <w:rFonts w:ascii="Times New Roman" w:hAnsi="Times New Roman" w:cs="Times New Roman"/>
        </w:rPr>
        <w:t xml:space="preserve">close to </w:t>
      </w:r>
      <w:r w:rsidR="00860935">
        <w:rPr>
          <w:rFonts w:ascii="Times New Roman" w:hAnsi="Times New Roman" w:cs="Times New Roman"/>
        </w:rPr>
        <w:t xml:space="preserve">0.0 (viz., 0 percent), then the </w:t>
      </w:r>
      <w:r w:rsidR="007D1DCB">
        <w:rPr>
          <w:rFonts w:ascii="Times New Roman" w:hAnsi="Times New Roman" w:cs="Times New Roman"/>
        </w:rPr>
        <w:t xml:space="preserve">degree of the competition is extremely low(recall </w:t>
      </w:r>
      <w:r w:rsidR="00653448">
        <w:rPr>
          <w:rFonts w:ascii="Times New Roman" w:hAnsi="Times New Roman" w:cs="Times New Roman"/>
        </w:rPr>
        <w:t>theorem 1).</w:t>
      </w:r>
    </w:p>
    <w:p w14:paraId="16004011" w14:textId="77777777" w:rsidR="006D12D3" w:rsidRDefault="00653448">
      <w:pPr>
        <w:rPr>
          <w:rFonts w:ascii="Times New Roman" w:hAnsi="Times New Roman" w:cs="Times New Roman"/>
        </w:rPr>
      </w:pPr>
      <w:r>
        <w:rPr>
          <w:rFonts w:ascii="Times New Roman" w:hAnsi="Times New Roman" w:cs="Times New Roman"/>
        </w:rPr>
        <w:t xml:space="preserve">     An additional principal </w:t>
      </w:r>
      <w:r w:rsidR="000A3A81">
        <w:rPr>
          <w:rFonts w:ascii="Times New Roman" w:hAnsi="Times New Roman" w:cs="Times New Roman"/>
        </w:rPr>
        <w:t xml:space="preserve">results of this research is that </w:t>
      </w:r>
      <w:r w:rsidR="007A2534">
        <w:rPr>
          <w:rFonts w:ascii="Times New Roman" w:hAnsi="Times New Roman" w:cs="Times New Roman"/>
        </w:rPr>
        <w:t xml:space="preserve">the policies of an open </w:t>
      </w:r>
      <w:r w:rsidR="00313209">
        <w:rPr>
          <w:rFonts w:ascii="Times New Roman" w:hAnsi="Times New Roman" w:cs="Times New Roman"/>
        </w:rPr>
        <w:t>economy’s foreign trade and payments p</w:t>
      </w:r>
      <w:r w:rsidR="002B5F27">
        <w:rPr>
          <w:rFonts w:ascii="Times New Roman" w:hAnsi="Times New Roman" w:cs="Times New Roman"/>
        </w:rPr>
        <w:t xml:space="preserve">artner country  </w:t>
      </w:r>
      <w:r w:rsidR="004E4EB8">
        <w:rPr>
          <w:rFonts w:ascii="Times New Roman" w:hAnsi="Times New Roman" w:cs="Times New Roman"/>
        </w:rPr>
        <w:t xml:space="preserve">which utilizes her economic and financial </w:t>
      </w:r>
      <w:r w:rsidR="0041418C">
        <w:rPr>
          <w:rFonts w:ascii="Times New Roman" w:hAnsi="Times New Roman" w:cs="Times New Roman"/>
        </w:rPr>
        <w:t xml:space="preserve">strength for geopolitical ends tend to exert negative </w:t>
      </w:r>
      <w:r w:rsidR="00B04535">
        <w:rPr>
          <w:rFonts w:ascii="Times New Roman" w:hAnsi="Times New Roman" w:cs="Times New Roman"/>
        </w:rPr>
        <w:t xml:space="preserve">or positive marginal impacts on the degree of competition </w:t>
      </w:r>
      <w:r w:rsidR="00E26F67">
        <w:rPr>
          <w:rFonts w:ascii="Times New Roman" w:hAnsi="Times New Roman" w:cs="Times New Roman"/>
        </w:rPr>
        <w:t xml:space="preserve">in the monetary and financial </w:t>
      </w:r>
      <w:r w:rsidR="001F6F49">
        <w:rPr>
          <w:rFonts w:ascii="Times New Roman" w:hAnsi="Times New Roman" w:cs="Times New Roman"/>
        </w:rPr>
        <w:t xml:space="preserve">instruments markets in the specific individual </w:t>
      </w:r>
      <w:r w:rsidR="00D12FA2">
        <w:rPr>
          <w:rFonts w:ascii="Times New Roman" w:hAnsi="Times New Roman" w:cs="Times New Roman"/>
        </w:rPr>
        <w:t>domestics open economy and the global economy, ceteris</w:t>
      </w:r>
      <w:r w:rsidR="00F94F86">
        <w:rPr>
          <w:rFonts w:ascii="Times New Roman" w:hAnsi="Times New Roman" w:cs="Times New Roman"/>
        </w:rPr>
        <w:t xml:space="preserve"> paribus. The transmission mechanisms which induce these impacts operate </w:t>
      </w:r>
      <w:r w:rsidR="006D12D3">
        <w:rPr>
          <w:rFonts w:ascii="Times New Roman" w:hAnsi="Times New Roman" w:cs="Times New Roman"/>
        </w:rPr>
        <w:t xml:space="preserve">as follows. An </w:t>
      </w:r>
    </w:p>
    <w:p w14:paraId="67B5A443" w14:textId="77777777" w:rsidR="006D12D3" w:rsidRDefault="006D12D3">
      <w:pPr>
        <w:rPr>
          <w:rFonts w:ascii="Times New Roman" w:hAnsi="Times New Roman" w:cs="Times New Roman"/>
        </w:rPr>
      </w:pPr>
    </w:p>
    <w:p w14:paraId="5E30BE10" w14:textId="77777777" w:rsidR="006D12D3" w:rsidRDefault="006D12D3">
      <w:pPr>
        <w:rPr>
          <w:rFonts w:ascii="Times New Roman" w:hAnsi="Times New Roman" w:cs="Times New Roman"/>
        </w:rPr>
      </w:pPr>
      <w:r>
        <w:rPr>
          <w:rFonts w:ascii="Times New Roman" w:hAnsi="Times New Roman" w:cs="Times New Roman"/>
        </w:rPr>
        <w:t>34</w:t>
      </w:r>
    </w:p>
    <w:p w14:paraId="6A99EB0C" w14:textId="77777777" w:rsidR="008C2871" w:rsidRDefault="003908D5">
      <w:pPr>
        <w:rPr>
          <w:rFonts w:ascii="Times New Roman" w:hAnsi="Times New Roman" w:cs="Times New Roman"/>
        </w:rPr>
      </w:pPr>
      <w:r>
        <w:rPr>
          <w:rFonts w:ascii="Times New Roman" w:hAnsi="Times New Roman" w:cs="Times New Roman"/>
        </w:rPr>
        <w:t xml:space="preserve">Increase in the marginal rate </w:t>
      </w:r>
      <w:r w:rsidR="00727A93">
        <w:rPr>
          <w:rFonts w:ascii="Times New Roman" w:hAnsi="Times New Roman" w:cs="Times New Roman"/>
        </w:rPr>
        <w:t>on the import tariff (actual or tariff – equ</w:t>
      </w:r>
      <w:r w:rsidR="00B80253">
        <w:rPr>
          <w:rFonts w:ascii="Times New Roman" w:hAnsi="Times New Roman" w:cs="Times New Roman"/>
        </w:rPr>
        <w:t>ivalent) imposed by the aforementioned foreign partner country</w:t>
      </w:r>
      <w:r w:rsidR="00653D40">
        <w:rPr>
          <w:rFonts w:ascii="Times New Roman" w:hAnsi="Times New Roman" w:cs="Times New Roman"/>
        </w:rPr>
        <w:t xml:space="preserve"> of the aforementioned domestic open economy of the exp</w:t>
      </w:r>
      <w:r w:rsidR="001010C8">
        <w:rPr>
          <w:rFonts w:ascii="Times New Roman" w:hAnsi="Times New Roman" w:cs="Times New Roman"/>
        </w:rPr>
        <w:t>orts (viz., monetary and financial instruments</w:t>
      </w:r>
      <w:r w:rsidR="00813B9F">
        <w:rPr>
          <w:rFonts w:ascii="Times New Roman" w:hAnsi="Times New Roman" w:cs="Times New Roman"/>
        </w:rPr>
        <w:t xml:space="preserve">, real goods and services, and factor inputs) </w:t>
      </w:r>
      <w:r w:rsidR="000D5A52">
        <w:rPr>
          <w:rFonts w:ascii="Times New Roman" w:hAnsi="Times New Roman" w:cs="Times New Roman"/>
        </w:rPr>
        <w:t>of this domestic open economy tends to exert lower domestic prices of these export</w:t>
      </w:r>
      <w:r w:rsidR="005B61BE">
        <w:rPr>
          <w:rFonts w:ascii="Times New Roman" w:hAnsi="Times New Roman" w:cs="Times New Roman"/>
        </w:rPr>
        <w:t xml:space="preserve">s of the domestic open economy which, in turn, tend to precipitate </w:t>
      </w:r>
      <w:r w:rsidR="00AE26E2">
        <w:rPr>
          <w:rFonts w:ascii="Times New Roman" w:hAnsi="Times New Roman" w:cs="Times New Roman"/>
        </w:rPr>
        <w:t xml:space="preserve">lower or higher supply </w:t>
      </w:r>
      <w:r w:rsidR="000524FC">
        <w:rPr>
          <w:rFonts w:ascii="Times New Roman" w:hAnsi="Times New Roman" w:cs="Times New Roman"/>
        </w:rPr>
        <w:t>of these  export</w:t>
      </w:r>
      <w:r w:rsidR="00840C10">
        <w:rPr>
          <w:rFonts w:ascii="Times New Roman" w:hAnsi="Times New Roman" w:cs="Times New Roman"/>
        </w:rPr>
        <w:t xml:space="preserve">s, depending upon whether the relevant impacts are own </w:t>
      </w:r>
      <w:r w:rsidR="00850CBB">
        <w:rPr>
          <w:rFonts w:ascii="Times New Roman" w:hAnsi="Times New Roman" w:cs="Times New Roman"/>
        </w:rPr>
        <w:t>price impacts, cross-price impacts</w:t>
      </w:r>
      <w:r w:rsidR="006267AE">
        <w:rPr>
          <w:rFonts w:ascii="Times New Roman" w:hAnsi="Times New Roman" w:cs="Times New Roman"/>
        </w:rPr>
        <w:t xml:space="preserve"> </w:t>
      </w:r>
      <w:r w:rsidR="006267AE">
        <w:rPr>
          <w:rFonts w:ascii="Times New Roman" w:hAnsi="Times New Roman" w:cs="Times New Roman"/>
        </w:rPr>
        <w:lastRenderedPageBreak/>
        <w:t>(</w:t>
      </w:r>
      <w:r w:rsidR="00E5701A">
        <w:rPr>
          <w:rFonts w:ascii="Times New Roman" w:hAnsi="Times New Roman" w:cs="Times New Roman"/>
        </w:rPr>
        <w:t>viz., monetary and financial instruments</w:t>
      </w:r>
      <w:r w:rsidR="0027775C">
        <w:rPr>
          <w:rFonts w:ascii="Times New Roman" w:hAnsi="Times New Roman" w:cs="Times New Roman"/>
        </w:rPr>
        <w:t xml:space="preserve">, real goods and services, and factor inputs ) of this domestic </w:t>
      </w:r>
      <w:r w:rsidR="00782376">
        <w:rPr>
          <w:rFonts w:ascii="Times New Roman" w:hAnsi="Times New Roman" w:cs="Times New Roman"/>
        </w:rPr>
        <w:t>prices of these exp</w:t>
      </w:r>
      <w:r w:rsidR="006207FB">
        <w:rPr>
          <w:rFonts w:ascii="Times New Roman" w:hAnsi="Times New Roman" w:cs="Times New Roman"/>
        </w:rPr>
        <w:t xml:space="preserve">orts, depending </w:t>
      </w:r>
      <w:r w:rsidR="001E5299">
        <w:rPr>
          <w:rFonts w:ascii="Times New Roman" w:hAnsi="Times New Roman" w:cs="Times New Roman"/>
        </w:rPr>
        <w:t xml:space="preserve">upon whether the relevant impacts are own price </w:t>
      </w:r>
      <w:r w:rsidR="00951204">
        <w:rPr>
          <w:rFonts w:ascii="Times New Roman" w:hAnsi="Times New Roman" w:cs="Times New Roman"/>
        </w:rPr>
        <w:t>impacts, cross-price impacts (for complementary versus substitu</w:t>
      </w:r>
      <w:r w:rsidR="00E87DB1">
        <w:rPr>
          <w:rFonts w:ascii="Times New Roman" w:hAnsi="Times New Roman" w:cs="Times New Roman"/>
        </w:rPr>
        <w:t xml:space="preserve">tion impacts). The volumes </w:t>
      </w:r>
      <w:r w:rsidR="00350438">
        <w:rPr>
          <w:rFonts w:ascii="Times New Roman" w:hAnsi="Times New Roman" w:cs="Times New Roman"/>
        </w:rPr>
        <w:t xml:space="preserve">of these supply changes including </w:t>
      </w:r>
      <w:r w:rsidR="00DC0BDD">
        <w:rPr>
          <w:rFonts w:ascii="Times New Roman" w:hAnsi="Times New Roman" w:cs="Times New Roman"/>
        </w:rPr>
        <w:t xml:space="preserve">those of the volumes of monetary </w:t>
      </w:r>
      <w:r w:rsidR="0018415A">
        <w:rPr>
          <w:rFonts w:ascii="Times New Roman" w:hAnsi="Times New Roman" w:cs="Times New Roman"/>
        </w:rPr>
        <w:t xml:space="preserve">and financial instruments then precipitate lower or </w:t>
      </w:r>
      <w:r w:rsidR="00846B5C">
        <w:rPr>
          <w:rFonts w:ascii="Times New Roman" w:hAnsi="Times New Roman" w:cs="Times New Roman"/>
        </w:rPr>
        <w:t xml:space="preserve">induce higher magnitudes of the </w:t>
      </w:r>
      <w:r w:rsidR="006178F4">
        <w:rPr>
          <w:rFonts w:ascii="Times New Roman" w:hAnsi="Times New Roman" w:cs="Times New Roman"/>
        </w:rPr>
        <w:t>degree competition in the monetary and financial system</w:t>
      </w:r>
      <w:r w:rsidR="00B95ABD">
        <w:rPr>
          <w:rFonts w:ascii="Times New Roman" w:hAnsi="Times New Roman" w:cs="Times New Roman"/>
        </w:rPr>
        <w:t xml:space="preserve">, ceteris paribus in the domestic open economy and the </w:t>
      </w:r>
      <w:r w:rsidR="001D0437">
        <w:rPr>
          <w:rFonts w:ascii="Times New Roman" w:hAnsi="Times New Roman" w:cs="Times New Roman"/>
        </w:rPr>
        <w:t xml:space="preserve">economy (recall theorem 2 and 3). In the same vein, the </w:t>
      </w:r>
      <w:r w:rsidR="00D47820">
        <w:rPr>
          <w:rFonts w:ascii="Times New Roman" w:hAnsi="Times New Roman" w:cs="Times New Roman"/>
        </w:rPr>
        <w:t xml:space="preserve">aforementioned foreign country’s trade policies tend to exert either </w:t>
      </w:r>
      <w:r w:rsidR="00E92E70">
        <w:rPr>
          <w:rFonts w:ascii="Times New Roman" w:hAnsi="Times New Roman" w:cs="Times New Roman"/>
        </w:rPr>
        <w:t>a negative or positive impact</w:t>
      </w:r>
      <w:r w:rsidR="00FC6262">
        <w:rPr>
          <w:rFonts w:ascii="Times New Roman" w:hAnsi="Times New Roman" w:cs="Times New Roman"/>
        </w:rPr>
        <w:t xml:space="preserve"> on the proportional change and acceleration of the volumes of the </w:t>
      </w:r>
      <w:r w:rsidR="002050BB">
        <w:rPr>
          <w:rFonts w:ascii="Times New Roman" w:hAnsi="Times New Roman" w:cs="Times New Roman"/>
        </w:rPr>
        <w:t xml:space="preserve">monetary and financial instruments in the domestics </w:t>
      </w:r>
      <w:r w:rsidR="001F5204">
        <w:rPr>
          <w:rFonts w:ascii="Times New Roman" w:hAnsi="Times New Roman" w:cs="Times New Roman"/>
        </w:rPr>
        <w:t>open economy and the global econ</w:t>
      </w:r>
      <w:r w:rsidR="00B45FF7">
        <w:rPr>
          <w:rFonts w:ascii="Times New Roman" w:hAnsi="Times New Roman" w:cs="Times New Roman"/>
        </w:rPr>
        <w:t xml:space="preserve">omy. The transmission mechanism in this regard are similar </w:t>
      </w:r>
      <w:r w:rsidR="00B366DB">
        <w:rPr>
          <w:rFonts w:ascii="Times New Roman" w:hAnsi="Times New Roman" w:cs="Times New Roman"/>
        </w:rPr>
        <w:t xml:space="preserve">to those indicated </w:t>
      </w:r>
      <w:r w:rsidR="00205568">
        <w:rPr>
          <w:rFonts w:ascii="Times New Roman" w:hAnsi="Times New Roman" w:cs="Times New Roman"/>
        </w:rPr>
        <w:t xml:space="preserve">in the immediately preceding paragraph </w:t>
      </w:r>
      <w:r w:rsidR="008C2871">
        <w:rPr>
          <w:rFonts w:ascii="Times New Roman" w:hAnsi="Times New Roman" w:cs="Times New Roman"/>
        </w:rPr>
        <w:t xml:space="preserve">(recall Theorem 4). </w:t>
      </w:r>
    </w:p>
    <w:p w14:paraId="397F2CEE" w14:textId="6B998699" w:rsidR="00653448" w:rsidRDefault="008C2871">
      <w:pPr>
        <w:rPr>
          <w:rFonts w:ascii="Times New Roman" w:hAnsi="Times New Roman" w:cs="Times New Roman"/>
        </w:rPr>
      </w:pPr>
      <w:r>
        <w:rPr>
          <w:rFonts w:ascii="Times New Roman" w:hAnsi="Times New Roman" w:cs="Times New Roman"/>
        </w:rPr>
        <w:t xml:space="preserve">    This research further </w:t>
      </w:r>
      <w:r w:rsidR="003A2588">
        <w:rPr>
          <w:rFonts w:ascii="Times New Roman" w:hAnsi="Times New Roman" w:cs="Times New Roman"/>
        </w:rPr>
        <w:t xml:space="preserve">observed that the aforementioned </w:t>
      </w:r>
      <w:r w:rsidR="00D12FA2">
        <w:rPr>
          <w:rFonts w:ascii="Times New Roman" w:hAnsi="Times New Roman" w:cs="Times New Roman"/>
        </w:rPr>
        <w:t xml:space="preserve"> </w:t>
      </w:r>
      <w:r w:rsidR="003A2588">
        <w:rPr>
          <w:rFonts w:ascii="Times New Roman" w:hAnsi="Times New Roman" w:cs="Times New Roman"/>
        </w:rPr>
        <w:t xml:space="preserve">foreign country’s </w:t>
      </w:r>
      <w:r w:rsidR="00A24591">
        <w:rPr>
          <w:rFonts w:ascii="Times New Roman" w:hAnsi="Times New Roman" w:cs="Times New Roman"/>
        </w:rPr>
        <w:t xml:space="preserve">foreign trade policies can exert a negative or positive </w:t>
      </w:r>
      <w:r w:rsidR="00595ACA">
        <w:rPr>
          <w:rFonts w:ascii="Times New Roman" w:hAnsi="Times New Roman" w:cs="Times New Roman"/>
        </w:rPr>
        <w:t xml:space="preserve">impacts </w:t>
      </w:r>
      <w:r w:rsidR="00E03D0F">
        <w:rPr>
          <w:rFonts w:ascii="Times New Roman" w:hAnsi="Times New Roman" w:cs="Times New Roman"/>
        </w:rPr>
        <w:t>on the volatilities (viz., variance)</w:t>
      </w:r>
      <w:r w:rsidR="00054AF0">
        <w:rPr>
          <w:rFonts w:ascii="Times New Roman" w:hAnsi="Times New Roman" w:cs="Times New Roman"/>
        </w:rPr>
        <w:t xml:space="preserve"> of the levels, proportional changes and acceleration </w:t>
      </w:r>
      <w:r w:rsidR="00712416">
        <w:rPr>
          <w:rFonts w:ascii="Times New Roman" w:hAnsi="Times New Roman" w:cs="Times New Roman"/>
        </w:rPr>
        <w:t xml:space="preserve">of the volumes of the monetary </w:t>
      </w:r>
      <w:r w:rsidR="00860ED8">
        <w:rPr>
          <w:rFonts w:ascii="Times New Roman" w:hAnsi="Times New Roman" w:cs="Times New Roman"/>
        </w:rPr>
        <w:t xml:space="preserve">and financial instruments </w:t>
      </w:r>
      <w:r w:rsidR="00F528C2">
        <w:rPr>
          <w:rFonts w:ascii="Times New Roman" w:hAnsi="Times New Roman" w:cs="Times New Roman"/>
        </w:rPr>
        <w:t xml:space="preserve">in the domestic  open economy and the global </w:t>
      </w:r>
      <w:r w:rsidR="00871F80">
        <w:rPr>
          <w:rFonts w:ascii="Times New Roman" w:hAnsi="Times New Roman" w:cs="Times New Roman"/>
        </w:rPr>
        <w:t xml:space="preserve">economy (recall theorem 5). The transmission mechanisms </w:t>
      </w:r>
      <w:r w:rsidR="0032444B">
        <w:rPr>
          <w:rFonts w:ascii="Times New Roman" w:hAnsi="Times New Roman" w:cs="Times New Roman"/>
        </w:rPr>
        <w:t>herein operate as follows. The increase in this foreign country</w:t>
      </w:r>
      <w:r w:rsidR="008D4E16">
        <w:rPr>
          <w:rFonts w:ascii="Times New Roman" w:hAnsi="Times New Roman" w:cs="Times New Roman"/>
        </w:rPr>
        <w:t xml:space="preserve">’s foreign trade and payments policies’ rates influence </w:t>
      </w:r>
      <w:r w:rsidR="00CC3A72">
        <w:rPr>
          <w:rFonts w:ascii="Times New Roman" w:hAnsi="Times New Roman" w:cs="Times New Roman"/>
        </w:rPr>
        <w:t xml:space="preserve">the domestic prices of the monetary and financial instruments which </w:t>
      </w:r>
    </w:p>
    <w:p w14:paraId="5FC4924E" w14:textId="77777777" w:rsidR="00AD0E5D" w:rsidRDefault="00AD0E5D">
      <w:pPr>
        <w:rPr>
          <w:rFonts w:ascii="Times New Roman" w:hAnsi="Times New Roman" w:cs="Times New Roman"/>
        </w:rPr>
      </w:pPr>
    </w:p>
    <w:p w14:paraId="573B4CC7" w14:textId="77777777" w:rsidR="00AD0E5D" w:rsidRDefault="00AD0E5D">
      <w:pPr>
        <w:rPr>
          <w:rFonts w:ascii="Times New Roman" w:hAnsi="Times New Roman" w:cs="Times New Roman"/>
        </w:rPr>
      </w:pPr>
    </w:p>
    <w:p w14:paraId="66777F19" w14:textId="77777777" w:rsidR="00AD0E5D" w:rsidRDefault="00AD0E5D" w:rsidP="00AD0E5D">
      <w:pPr>
        <w:rPr>
          <w:rFonts w:ascii="Times New Roman" w:hAnsi="Times New Roman" w:cs="Times New Roman"/>
        </w:rPr>
      </w:pPr>
    </w:p>
    <w:p w14:paraId="1153D16E" w14:textId="77777777" w:rsidR="00AD0E5D" w:rsidRDefault="00AD0E5D" w:rsidP="00AD0E5D">
      <w:pPr>
        <w:rPr>
          <w:rFonts w:ascii="Times New Roman" w:hAnsi="Times New Roman" w:cs="Times New Roman"/>
        </w:rPr>
      </w:pPr>
      <w:r>
        <w:rPr>
          <w:rFonts w:ascii="Times New Roman" w:hAnsi="Times New Roman" w:cs="Times New Roman"/>
        </w:rPr>
        <w:t xml:space="preserve">35 </w:t>
      </w:r>
    </w:p>
    <w:p w14:paraId="5796194A" w14:textId="77777777" w:rsidR="00AD0E5D" w:rsidRDefault="00AD0E5D" w:rsidP="00AD0E5D">
      <w:pPr>
        <w:rPr>
          <w:rFonts w:ascii="Times New Roman" w:hAnsi="Times New Roman" w:cs="Times New Roman"/>
        </w:rPr>
      </w:pPr>
      <w:r>
        <w:rPr>
          <w:rFonts w:ascii="Times New Roman" w:hAnsi="Times New Roman" w:cs="Times New Roman"/>
        </w:rPr>
        <w:t xml:space="preserve">        the volatilities of the prices, and ultimately influence in turn, influence the variances of the levels, proportional changes, and acceleration of the volumes of monetary and financial instruments in the domestic open economy and the global economy (recall theorem 5). The results of this study further indicates that the marginal impacts of competition in the monetary and financial instruments’ markets and the foreign trade and  payments policies of the domestic economy’s foreign trade and payments partner country which utilises her economic and financial strength for geopolitical ends, on the levels., growth and acceleration of the real aggregate output in the domestic open economy and the global economy tend to be negative or positive (recall theorem 6 and 7). The relevant transmission mechanisms are similar to the already optimized in the previous paragraphs in the section of this paper, as evident in theorem 6 and theorem 7. </w:t>
      </w:r>
    </w:p>
    <w:p w14:paraId="34550BCB" w14:textId="77777777" w:rsidR="00AD0E5D" w:rsidRDefault="00AD0E5D" w:rsidP="00AD0E5D">
      <w:pPr>
        <w:rPr>
          <w:rFonts w:ascii="Times New Roman" w:hAnsi="Times New Roman" w:cs="Times New Roman"/>
        </w:rPr>
      </w:pPr>
      <w:r>
        <w:rPr>
          <w:rFonts w:ascii="Times New Roman" w:hAnsi="Times New Roman" w:cs="Times New Roman"/>
        </w:rPr>
        <w:t xml:space="preserve">       This study’s results which have been discussed so far, present requisite quantitative, information for constructing a typology of all the impacts obtained of in this study, for domestic  open economies and for the global economy. This typology of impacts can then be utilized to   design and proffer fruitful policies for countering any potential or actual undesirable (adverse) impacts of foreign trade and payments policies of a given domestic economy’s trade and </w:t>
      </w:r>
      <w:r>
        <w:rPr>
          <w:rFonts w:ascii="Times New Roman" w:hAnsi="Times New Roman" w:cs="Times New Roman"/>
        </w:rPr>
        <w:lastRenderedPageBreak/>
        <w:t xml:space="preserve">payments partner country which utilizes her economic and financial strength for geopolitical ends. As an exemplar, where a given determinant trends to exert a negative impact, then its level can be increased (decreased) where lower (higher) levels of the relevant economic phenomenon (__) already discussed tend to be desirable, and vice versa. Foreign trade and payments partner country switching can also be employed if any ‘geoeconomic’ impact(s) tend(s) to be undesirable. Of course, many other results can be distilled as by products of this study. Finally, this study’s results are novel and are applicable to any of domestic economy and the  global economy because of its generalizing, inter alia. </w:t>
      </w:r>
    </w:p>
    <w:p w14:paraId="479CD3D5" w14:textId="77777777" w:rsidR="00AD0E5D" w:rsidRDefault="00AD0E5D">
      <w:pPr>
        <w:rPr>
          <w:rFonts w:ascii="Times New Roman" w:hAnsi="Times New Roman" w:cs="Times New Roman"/>
        </w:rPr>
      </w:pPr>
    </w:p>
    <w:p w14:paraId="18B90CF6" w14:textId="77777777" w:rsidR="00CC3A72" w:rsidRDefault="00CC3A72">
      <w:pPr>
        <w:rPr>
          <w:rFonts w:ascii="Times New Roman" w:hAnsi="Times New Roman" w:cs="Times New Roman"/>
        </w:rPr>
      </w:pPr>
    </w:p>
    <w:p w14:paraId="1FD77875" w14:textId="024943F4" w:rsidR="00CC3A72" w:rsidRDefault="00CC3A72">
      <w:pPr>
        <w:rPr>
          <w:rFonts w:ascii="Times New Roman" w:hAnsi="Times New Roman" w:cs="Times New Roman"/>
        </w:rPr>
      </w:pPr>
      <w:r>
        <w:rPr>
          <w:rFonts w:ascii="Times New Roman" w:hAnsi="Times New Roman" w:cs="Times New Roman"/>
        </w:rPr>
        <w:t>3</w:t>
      </w:r>
      <w:r w:rsidR="009D7040">
        <w:rPr>
          <w:rFonts w:ascii="Times New Roman" w:hAnsi="Times New Roman" w:cs="Times New Roman"/>
        </w:rPr>
        <w:t>6</w:t>
      </w:r>
    </w:p>
    <w:p w14:paraId="21C2B015" w14:textId="453AAB1F" w:rsidR="00CC3A72" w:rsidRDefault="003C3469">
      <w:pPr>
        <w:rPr>
          <w:rFonts w:ascii="Times New Roman" w:hAnsi="Times New Roman" w:cs="Times New Roman"/>
        </w:rPr>
      </w:pPr>
      <w:r>
        <w:rPr>
          <w:rFonts w:ascii="Times New Roman" w:hAnsi="Times New Roman" w:cs="Times New Roman"/>
        </w:rPr>
        <w:t xml:space="preserve">Concluding </w:t>
      </w:r>
      <w:r w:rsidR="00EE58C7">
        <w:rPr>
          <w:rFonts w:ascii="Times New Roman" w:hAnsi="Times New Roman" w:cs="Times New Roman"/>
        </w:rPr>
        <w:t xml:space="preserve">remarks </w:t>
      </w:r>
    </w:p>
    <w:p w14:paraId="4BF681B3" w14:textId="3E0EA302" w:rsidR="00EE58C7" w:rsidRDefault="00EE58C7">
      <w:pPr>
        <w:rPr>
          <w:rFonts w:ascii="Times New Roman" w:hAnsi="Times New Roman" w:cs="Times New Roman"/>
        </w:rPr>
      </w:pPr>
      <w:r>
        <w:rPr>
          <w:rFonts w:ascii="Times New Roman" w:hAnsi="Times New Roman" w:cs="Times New Roman"/>
        </w:rPr>
        <w:t xml:space="preserve">       </w:t>
      </w:r>
      <w:r w:rsidR="001C79F7">
        <w:rPr>
          <w:rFonts w:ascii="Times New Roman" w:hAnsi="Times New Roman" w:cs="Times New Roman"/>
        </w:rPr>
        <w:t xml:space="preserve">This research </w:t>
      </w:r>
      <w:r w:rsidR="00533955">
        <w:rPr>
          <w:rFonts w:ascii="Times New Roman" w:hAnsi="Times New Roman" w:cs="Times New Roman"/>
        </w:rPr>
        <w:t xml:space="preserve">paper has constructed a novel general theory and modelling methodology of the </w:t>
      </w:r>
      <w:r w:rsidR="00073C02">
        <w:rPr>
          <w:rFonts w:ascii="Times New Roman" w:hAnsi="Times New Roman" w:cs="Times New Roman"/>
        </w:rPr>
        <w:t xml:space="preserve">“geoeconomic” impacts in results of competition </w:t>
      </w:r>
      <w:r w:rsidR="00A84D2F">
        <w:rPr>
          <w:rFonts w:ascii="Times New Roman" w:hAnsi="Times New Roman" w:cs="Times New Roman"/>
        </w:rPr>
        <w:t xml:space="preserve">in the monetary and financial instruments’ </w:t>
      </w:r>
      <w:r w:rsidR="005352B5">
        <w:rPr>
          <w:rFonts w:ascii="Times New Roman" w:hAnsi="Times New Roman" w:cs="Times New Roman"/>
        </w:rPr>
        <w:t xml:space="preserve">markets (and system) and the foreign trade and payments policies of the domestic economy’s </w:t>
      </w:r>
      <w:r w:rsidR="00516B54">
        <w:rPr>
          <w:rFonts w:ascii="Times New Roman" w:hAnsi="Times New Roman" w:cs="Times New Roman"/>
        </w:rPr>
        <w:t xml:space="preserve">foreign </w:t>
      </w:r>
      <w:r w:rsidR="00971099">
        <w:rPr>
          <w:rFonts w:ascii="Times New Roman" w:hAnsi="Times New Roman" w:cs="Times New Roman"/>
        </w:rPr>
        <w:t xml:space="preserve">trade and payments partner country which utilizes her economic </w:t>
      </w:r>
      <w:r w:rsidR="00CA502B">
        <w:rPr>
          <w:rFonts w:ascii="Times New Roman" w:hAnsi="Times New Roman" w:cs="Times New Roman"/>
        </w:rPr>
        <w:t xml:space="preserve">and financial strength for geopolitical ends. </w:t>
      </w:r>
      <w:r w:rsidR="003D5552">
        <w:rPr>
          <w:rFonts w:ascii="Times New Roman" w:hAnsi="Times New Roman" w:cs="Times New Roman"/>
        </w:rPr>
        <w:t xml:space="preserve">It has rigorously analysed the impacts </w:t>
      </w:r>
      <w:r w:rsidR="00F93511">
        <w:rPr>
          <w:rFonts w:ascii="Times New Roman" w:hAnsi="Times New Roman" w:cs="Times New Roman"/>
        </w:rPr>
        <w:t>of these policies on the degree of the aforementioned competition</w:t>
      </w:r>
      <w:r w:rsidR="009D732A">
        <w:rPr>
          <w:rFonts w:ascii="Times New Roman" w:hAnsi="Times New Roman" w:cs="Times New Roman"/>
        </w:rPr>
        <w:t xml:space="preserve">, coupled the levels, proportional growth, and </w:t>
      </w:r>
      <w:r w:rsidR="006F1F79">
        <w:rPr>
          <w:rFonts w:ascii="Times New Roman" w:hAnsi="Times New Roman" w:cs="Times New Roman"/>
        </w:rPr>
        <w:t xml:space="preserve">acceleration of the volumes of the different components </w:t>
      </w:r>
      <w:r w:rsidR="006256B1">
        <w:rPr>
          <w:rFonts w:ascii="Times New Roman" w:hAnsi="Times New Roman" w:cs="Times New Roman"/>
        </w:rPr>
        <w:t>of monetary and financial</w:t>
      </w:r>
      <w:r w:rsidR="00701861">
        <w:rPr>
          <w:rFonts w:ascii="Times New Roman" w:hAnsi="Times New Roman" w:cs="Times New Roman"/>
        </w:rPr>
        <w:t xml:space="preserve"> </w:t>
      </w:r>
      <w:r w:rsidR="00E934C1">
        <w:rPr>
          <w:rFonts w:ascii="Times New Roman" w:hAnsi="Times New Roman" w:cs="Times New Roman"/>
        </w:rPr>
        <w:t xml:space="preserve">instruments (system)and the </w:t>
      </w:r>
      <w:r w:rsidR="00DB5F13">
        <w:rPr>
          <w:rFonts w:ascii="Times New Roman" w:hAnsi="Times New Roman" w:cs="Times New Roman"/>
        </w:rPr>
        <w:t>volatilities (various) of these volumes, as well as levels</w:t>
      </w:r>
      <w:r w:rsidR="004A0B5F">
        <w:rPr>
          <w:rFonts w:ascii="Times New Roman" w:hAnsi="Times New Roman" w:cs="Times New Roman"/>
        </w:rPr>
        <w:t xml:space="preserve">, growth and acceleration of real aggregate </w:t>
      </w:r>
      <w:r w:rsidR="00666378">
        <w:rPr>
          <w:rFonts w:ascii="Times New Roman" w:hAnsi="Times New Roman" w:cs="Times New Roman"/>
        </w:rPr>
        <w:t xml:space="preserve">output in a given </w:t>
      </w:r>
      <w:r w:rsidR="00F52202">
        <w:rPr>
          <w:rFonts w:ascii="Times New Roman" w:hAnsi="Times New Roman" w:cs="Times New Roman"/>
        </w:rPr>
        <w:t>domestic open economy and the global economy as a whole</w:t>
      </w:r>
      <w:r w:rsidR="00A556F7">
        <w:rPr>
          <w:rFonts w:ascii="Times New Roman" w:hAnsi="Times New Roman" w:cs="Times New Roman"/>
        </w:rPr>
        <w:t xml:space="preserve">. It has additionally quantified the impacts of the degree of the </w:t>
      </w:r>
      <w:r w:rsidR="0027548C">
        <w:rPr>
          <w:rFonts w:ascii="Times New Roman" w:hAnsi="Times New Roman" w:cs="Times New Roman"/>
        </w:rPr>
        <w:t>aforementioned competition on the levels, gr</w:t>
      </w:r>
      <w:r w:rsidR="00FC6904">
        <w:rPr>
          <w:rFonts w:ascii="Times New Roman" w:hAnsi="Times New Roman" w:cs="Times New Roman"/>
        </w:rPr>
        <w:t>owth and acceleration of real ag</w:t>
      </w:r>
      <w:r w:rsidR="00E22060">
        <w:rPr>
          <w:rFonts w:ascii="Times New Roman" w:hAnsi="Times New Roman" w:cs="Times New Roman"/>
        </w:rPr>
        <w:t>g</w:t>
      </w:r>
      <w:r w:rsidR="00FC6904">
        <w:rPr>
          <w:rFonts w:ascii="Times New Roman" w:hAnsi="Times New Roman" w:cs="Times New Roman"/>
        </w:rPr>
        <w:t>regate output in a</w:t>
      </w:r>
      <w:r w:rsidR="00E22060">
        <w:rPr>
          <w:rFonts w:ascii="Times New Roman" w:hAnsi="Times New Roman" w:cs="Times New Roman"/>
        </w:rPr>
        <w:t xml:space="preserve"> given economy and the global economy. </w:t>
      </w:r>
    </w:p>
    <w:p w14:paraId="67D30AE5" w14:textId="7DAC8EDC" w:rsidR="00814404" w:rsidRDefault="00814404">
      <w:pPr>
        <w:rPr>
          <w:rFonts w:ascii="Times New Roman" w:hAnsi="Times New Roman" w:cs="Times New Roman"/>
        </w:rPr>
      </w:pPr>
      <w:r>
        <w:rPr>
          <w:rFonts w:ascii="Times New Roman" w:hAnsi="Times New Roman" w:cs="Times New Roman"/>
        </w:rPr>
        <w:t xml:space="preserve">The study utilizes the logical deductive reasoning </w:t>
      </w:r>
      <w:r w:rsidR="00592D94">
        <w:rPr>
          <w:rFonts w:ascii="Times New Roman" w:hAnsi="Times New Roman" w:cs="Times New Roman"/>
        </w:rPr>
        <w:t xml:space="preserve">approach to the scientific theorizing process in the </w:t>
      </w:r>
      <w:r w:rsidR="000B0EFF">
        <w:rPr>
          <w:rFonts w:ascii="Times New Roman" w:hAnsi="Times New Roman" w:cs="Times New Roman"/>
        </w:rPr>
        <w:t xml:space="preserve">construction of the present </w:t>
      </w:r>
      <w:r w:rsidR="00EB31FA">
        <w:rPr>
          <w:rFonts w:ascii="Times New Roman" w:hAnsi="Times New Roman" w:cs="Times New Roman"/>
        </w:rPr>
        <w:t xml:space="preserve">study’s generals theory. Moreover, this theory is employed </w:t>
      </w:r>
      <w:r w:rsidR="007E3FD1">
        <w:rPr>
          <w:rFonts w:ascii="Times New Roman" w:hAnsi="Times New Roman" w:cs="Times New Roman"/>
        </w:rPr>
        <w:t xml:space="preserve">as the theoretical </w:t>
      </w:r>
      <w:r w:rsidR="007E60D3">
        <w:rPr>
          <w:rFonts w:ascii="Times New Roman" w:hAnsi="Times New Roman" w:cs="Times New Roman"/>
        </w:rPr>
        <w:t xml:space="preserve">foundation </w:t>
      </w:r>
      <w:r w:rsidR="004A3D2F">
        <w:rPr>
          <w:rFonts w:ascii="Times New Roman" w:hAnsi="Times New Roman" w:cs="Times New Roman"/>
        </w:rPr>
        <w:t>of the modelling methodology. This modelling methodology innova</w:t>
      </w:r>
      <w:r w:rsidR="00BB0BE9">
        <w:rPr>
          <w:rFonts w:ascii="Times New Roman" w:hAnsi="Times New Roman" w:cs="Times New Roman"/>
        </w:rPr>
        <w:t xml:space="preserve">tively utilizes this theory jointly with the Clive Granger </w:t>
      </w:r>
      <w:r w:rsidR="00805168">
        <w:rPr>
          <w:rFonts w:ascii="Times New Roman" w:hAnsi="Times New Roman" w:cs="Times New Roman"/>
        </w:rPr>
        <w:t xml:space="preserve">representation Theorem to derive </w:t>
      </w:r>
      <w:r w:rsidR="00FF18CB">
        <w:rPr>
          <w:rFonts w:ascii="Times New Roman" w:hAnsi="Times New Roman" w:cs="Times New Roman"/>
        </w:rPr>
        <w:t xml:space="preserve">an underlying equilibrium correction relationship. </w:t>
      </w:r>
      <w:r w:rsidR="00BA6FFD">
        <w:rPr>
          <w:rFonts w:ascii="Times New Roman" w:hAnsi="Times New Roman" w:cs="Times New Roman"/>
        </w:rPr>
        <w:t>The relevant data sources are indicated wherein</w:t>
      </w:r>
      <w:r w:rsidR="00002B54">
        <w:rPr>
          <w:rFonts w:ascii="Times New Roman" w:hAnsi="Times New Roman" w:cs="Times New Roman"/>
        </w:rPr>
        <w:t xml:space="preserve">. </w:t>
      </w:r>
      <w:r w:rsidR="00172D2F">
        <w:rPr>
          <w:rFonts w:ascii="Times New Roman" w:hAnsi="Times New Roman" w:cs="Times New Roman"/>
        </w:rPr>
        <w:t xml:space="preserve"> All these facilitate the</w:t>
      </w:r>
      <w:r w:rsidR="000A3748">
        <w:rPr>
          <w:rFonts w:ascii="Times New Roman" w:hAnsi="Times New Roman" w:cs="Times New Roman"/>
        </w:rPr>
        <w:t xml:space="preserve"> qualification of the requisite long run and short run impacts and the </w:t>
      </w:r>
      <w:r w:rsidR="00522D85">
        <w:rPr>
          <w:rFonts w:ascii="Times New Roman" w:hAnsi="Times New Roman" w:cs="Times New Roman"/>
        </w:rPr>
        <w:t xml:space="preserve">degree of competition in one </w:t>
      </w:r>
      <w:r w:rsidR="00A53538">
        <w:rPr>
          <w:rFonts w:ascii="Times New Roman" w:hAnsi="Times New Roman" w:cs="Times New Roman"/>
        </w:rPr>
        <w:t xml:space="preserve">joint composite framework. Among other results, this study observes that the aforementioned </w:t>
      </w:r>
    </w:p>
    <w:p w14:paraId="138F8EB3" w14:textId="77777777" w:rsidR="00AD0E5D" w:rsidRDefault="00AD0E5D">
      <w:pPr>
        <w:rPr>
          <w:rFonts w:ascii="Times New Roman" w:hAnsi="Times New Roman" w:cs="Times New Roman"/>
        </w:rPr>
      </w:pPr>
    </w:p>
    <w:p w14:paraId="21BB1DB7" w14:textId="77777777" w:rsidR="00AD0E5D" w:rsidRDefault="00AD0E5D">
      <w:pPr>
        <w:rPr>
          <w:rFonts w:ascii="Times New Roman" w:hAnsi="Times New Roman" w:cs="Times New Roman"/>
        </w:rPr>
      </w:pPr>
    </w:p>
    <w:p w14:paraId="34AE02C4" w14:textId="5EE32E0F" w:rsidR="00AD0E5D" w:rsidRDefault="00170F55">
      <w:pPr>
        <w:rPr>
          <w:rFonts w:ascii="Times New Roman" w:hAnsi="Times New Roman" w:cs="Times New Roman"/>
        </w:rPr>
      </w:pPr>
      <w:r>
        <w:rPr>
          <w:rFonts w:ascii="Times New Roman" w:hAnsi="Times New Roman" w:cs="Times New Roman"/>
        </w:rPr>
        <w:t>37</w:t>
      </w:r>
    </w:p>
    <w:p w14:paraId="390C56A4" w14:textId="624A3E6A" w:rsidR="00170F55" w:rsidRDefault="00170F55">
      <w:pPr>
        <w:rPr>
          <w:rFonts w:ascii="Times New Roman" w:hAnsi="Times New Roman" w:cs="Times New Roman"/>
        </w:rPr>
      </w:pPr>
      <w:r>
        <w:rPr>
          <w:rFonts w:ascii="Times New Roman" w:hAnsi="Times New Roman" w:cs="Times New Roman"/>
        </w:rPr>
        <w:lastRenderedPageBreak/>
        <w:t xml:space="preserve">         Impacts can be negative or positive</w:t>
      </w:r>
      <w:r w:rsidR="00C82F3F">
        <w:rPr>
          <w:rFonts w:ascii="Times New Roman" w:hAnsi="Times New Roman" w:cs="Times New Roman"/>
        </w:rPr>
        <w:t>. The transmission mech</w:t>
      </w:r>
      <w:r w:rsidR="00857B18">
        <w:rPr>
          <w:rFonts w:ascii="Times New Roman" w:hAnsi="Times New Roman" w:cs="Times New Roman"/>
        </w:rPr>
        <w:t>anis</w:t>
      </w:r>
      <w:r w:rsidR="00E859B2">
        <w:rPr>
          <w:rFonts w:ascii="Times New Roman" w:hAnsi="Times New Roman" w:cs="Times New Roman"/>
        </w:rPr>
        <w:t>ms which induce these impacts are outlined in this study</w:t>
      </w:r>
      <w:r w:rsidR="007F61B9">
        <w:rPr>
          <w:rFonts w:ascii="Times New Roman" w:hAnsi="Times New Roman" w:cs="Times New Roman"/>
        </w:rPr>
        <w:t>. This study suggests that these impacts can be utilized to construct</w:t>
      </w:r>
      <w:r w:rsidR="00897D25">
        <w:rPr>
          <w:rFonts w:ascii="Times New Roman" w:hAnsi="Times New Roman" w:cs="Times New Roman"/>
        </w:rPr>
        <w:t xml:space="preserve"> a typology of the relevant impacts for various types of </w:t>
      </w:r>
      <w:r w:rsidR="00217428">
        <w:rPr>
          <w:rFonts w:ascii="Times New Roman" w:hAnsi="Times New Roman" w:cs="Times New Roman"/>
        </w:rPr>
        <w:t xml:space="preserve">economic which can, in turn, be employed to design and proffer fruitful policies to </w:t>
      </w:r>
      <w:r w:rsidR="004B0D45">
        <w:rPr>
          <w:rFonts w:ascii="Times New Roman" w:hAnsi="Times New Roman" w:cs="Times New Roman"/>
        </w:rPr>
        <w:t xml:space="preserve">counter any potential or actual undesirable (adverse) impacts </w:t>
      </w:r>
      <w:r w:rsidR="006F742C">
        <w:rPr>
          <w:rFonts w:ascii="Times New Roman" w:hAnsi="Times New Roman" w:cs="Times New Roman"/>
        </w:rPr>
        <w:t>of a foreign</w:t>
      </w:r>
      <w:r w:rsidR="00CB5C69">
        <w:rPr>
          <w:rFonts w:ascii="Times New Roman" w:hAnsi="Times New Roman" w:cs="Times New Roman"/>
        </w:rPr>
        <w:t xml:space="preserve"> trade and payments policies of a foreign partner </w:t>
      </w:r>
      <w:r w:rsidR="003820AC">
        <w:rPr>
          <w:rFonts w:ascii="Times New Roman" w:hAnsi="Times New Roman" w:cs="Times New Roman"/>
        </w:rPr>
        <w:t xml:space="preserve">country which utilizes her economic and financial strength for political ends. As exemplars </w:t>
      </w:r>
      <w:r w:rsidR="003979AF">
        <w:rPr>
          <w:rFonts w:ascii="Times New Roman" w:hAnsi="Times New Roman" w:cs="Times New Roman"/>
        </w:rPr>
        <w:t xml:space="preserve">when a determinant tends to exert </w:t>
      </w:r>
      <w:r w:rsidR="008448E8">
        <w:rPr>
          <w:rFonts w:ascii="Times New Roman" w:hAnsi="Times New Roman" w:cs="Times New Roman"/>
        </w:rPr>
        <w:t xml:space="preserve"> a negative impact</w:t>
      </w:r>
      <w:r w:rsidR="00C22AEC">
        <w:rPr>
          <w:rFonts w:ascii="Times New Roman" w:hAnsi="Times New Roman" w:cs="Times New Roman"/>
        </w:rPr>
        <w:t xml:space="preserve"> in an economic phenomenon </w:t>
      </w:r>
      <w:r w:rsidR="00E1452F">
        <w:rPr>
          <w:rFonts w:ascii="Times New Roman" w:hAnsi="Times New Roman" w:cs="Times New Roman"/>
        </w:rPr>
        <w:t xml:space="preserve">then increased (decreased) levels of this determinant </w:t>
      </w:r>
      <w:r w:rsidR="001C0597">
        <w:rPr>
          <w:rFonts w:ascii="Times New Roman" w:hAnsi="Times New Roman" w:cs="Times New Roman"/>
        </w:rPr>
        <w:t>tends to exert a positive impact on</w:t>
      </w:r>
      <w:r w:rsidR="006144BA">
        <w:rPr>
          <w:rFonts w:ascii="Times New Roman" w:hAnsi="Times New Roman" w:cs="Times New Roman"/>
        </w:rPr>
        <w:t xml:space="preserve"> its economic phenomenon then increased (decreased) levels </w:t>
      </w:r>
      <w:r w:rsidR="00235E2C">
        <w:rPr>
          <w:rFonts w:ascii="Times New Roman" w:hAnsi="Times New Roman" w:cs="Times New Roman"/>
        </w:rPr>
        <w:t xml:space="preserve">of this determinant tends to exert higher (lower) </w:t>
      </w:r>
      <w:r w:rsidR="001E2585">
        <w:rPr>
          <w:rFonts w:ascii="Times New Roman" w:hAnsi="Times New Roman" w:cs="Times New Roman"/>
        </w:rPr>
        <w:t xml:space="preserve">levels of its economic phenomenon. These imply that </w:t>
      </w:r>
      <w:r w:rsidR="000302E7">
        <w:rPr>
          <w:rFonts w:ascii="Times New Roman" w:hAnsi="Times New Roman" w:cs="Times New Roman"/>
        </w:rPr>
        <w:t>when higher levels of a given pheno</w:t>
      </w:r>
      <w:r w:rsidR="00776F59">
        <w:rPr>
          <w:rFonts w:ascii="Times New Roman" w:hAnsi="Times New Roman" w:cs="Times New Roman"/>
        </w:rPr>
        <w:t>menon</w:t>
      </w:r>
      <w:r w:rsidR="008719A9">
        <w:rPr>
          <w:rFonts w:ascii="Times New Roman" w:hAnsi="Times New Roman" w:cs="Times New Roman"/>
        </w:rPr>
        <w:t xml:space="preserve"> are desired then the levels of its </w:t>
      </w:r>
      <w:r w:rsidR="006D6671">
        <w:rPr>
          <w:rFonts w:ascii="Times New Roman" w:hAnsi="Times New Roman" w:cs="Times New Roman"/>
        </w:rPr>
        <w:t xml:space="preserve">determinants need to be decreased (increased) in the </w:t>
      </w:r>
      <w:r w:rsidR="00851AC4">
        <w:rPr>
          <w:rFonts w:ascii="Times New Roman" w:hAnsi="Times New Roman" w:cs="Times New Roman"/>
        </w:rPr>
        <w:t>former case (in the latter case), whereas</w:t>
      </w:r>
      <w:r w:rsidR="00100B59">
        <w:rPr>
          <w:rFonts w:ascii="Times New Roman" w:hAnsi="Times New Roman" w:cs="Times New Roman"/>
        </w:rPr>
        <w:t xml:space="preserve"> when lower levels of the economic phenomenon are desired </w:t>
      </w:r>
      <w:r w:rsidR="00DE5E79">
        <w:rPr>
          <w:rFonts w:ascii="Times New Roman" w:hAnsi="Times New Roman" w:cs="Times New Roman"/>
        </w:rPr>
        <w:t xml:space="preserve">then the levels of the economic phenomenon are desired </w:t>
      </w:r>
      <w:r w:rsidR="00DE79A9">
        <w:rPr>
          <w:rFonts w:ascii="Times New Roman" w:hAnsi="Times New Roman" w:cs="Times New Roman"/>
        </w:rPr>
        <w:t xml:space="preserve">then the levels of its determinants need to be increased in the former </w:t>
      </w:r>
      <w:r w:rsidR="00CA3998">
        <w:rPr>
          <w:rFonts w:ascii="Times New Roman" w:hAnsi="Times New Roman" w:cs="Times New Roman"/>
        </w:rPr>
        <w:t xml:space="preserve">case (decreased in the latter case). In addition to such </w:t>
      </w:r>
      <w:r w:rsidR="00EE30CC">
        <w:rPr>
          <w:rFonts w:ascii="Times New Roman" w:hAnsi="Times New Roman" w:cs="Times New Roman"/>
        </w:rPr>
        <w:t xml:space="preserve">policies, </w:t>
      </w:r>
      <w:r w:rsidR="00E86865">
        <w:rPr>
          <w:rFonts w:ascii="Times New Roman" w:hAnsi="Times New Roman" w:cs="Times New Roman"/>
        </w:rPr>
        <w:t xml:space="preserve">foreign </w:t>
      </w:r>
      <w:r w:rsidR="00EE30CC">
        <w:rPr>
          <w:rFonts w:ascii="Times New Roman" w:hAnsi="Times New Roman" w:cs="Times New Roman"/>
        </w:rPr>
        <w:t>trade and payments</w:t>
      </w:r>
      <w:r w:rsidR="00552669">
        <w:rPr>
          <w:rFonts w:ascii="Times New Roman" w:hAnsi="Times New Roman" w:cs="Times New Roman"/>
        </w:rPr>
        <w:t xml:space="preserve"> partner country switching can also </w:t>
      </w:r>
      <w:r w:rsidR="000E7E4A">
        <w:rPr>
          <w:rFonts w:ascii="Times New Roman" w:hAnsi="Times New Roman" w:cs="Times New Roman"/>
        </w:rPr>
        <w:t xml:space="preserve">be utilized to counter any potential or actual undesirable (adverse) foreign partner country </w:t>
      </w:r>
      <w:r w:rsidR="001426C3">
        <w:rPr>
          <w:rFonts w:ascii="Times New Roman" w:hAnsi="Times New Roman" w:cs="Times New Roman"/>
        </w:rPr>
        <w:t xml:space="preserve">trade and payments policies. </w:t>
      </w:r>
    </w:p>
    <w:p w14:paraId="7A7134BD" w14:textId="77777777" w:rsidR="001426C3" w:rsidRDefault="001426C3">
      <w:pPr>
        <w:rPr>
          <w:rFonts w:ascii="Times New Roman" w:hAnsi="Times New Roman" w:cs="Times New Roman"/>
        </w:rPr>
      </w:pPr>
    </w:p>
    <w:p w14:paraId="1A21B662" w14:textId="34CD4710" w:rsidR="001426C3" w:rsidRDefault="001426C3">
      <w:pPr>
        <w:rPr>
          <w:rFonts w:ascii="Times New Roman" w:hAnsi="Times New Roman" w:cs="Times New Roman"/>
        </w:rPr>
      </w:pPr>
      <w:r>
        <w:rPr>
          <w:rFonts w:ascii="Times New Roman" w:hAnsi="Times New Roman" w:cs="Times New Roman"/>
        </w:rPr>
        <w:t>References</w:t>
      </w:r>
    </w:p>
    <w:p w14:paraId="765BD578" w14:textId="74FDDFB3" w:rsidR="001426C3" w:rsidRDefault="001426C3">
      <w:pPr>
        <w:rPr>
          <w:rFonts w:ascii="Times New Roman" w:hAnsi="Times New Roman" w:cs="Times New Roman"/>
        </w:rPr>
      </w:pPr>
      <w:r>
        <w:rPr>
          <w:rFonts w:ascii="Times New Roman" w:hAnsi="Times New Roman" w:cs="Times New Roman"/>
        </w:rPr>
        <w:t>Engle and Granger 19</w:t>
      </w:r>
      <w:r w:rsidR="001176EB">
        <w:rPr>
          <w:rFonts w:ascii="Times New Roman" w:hAnsi="Times New Roman" w:cs="Times New Roman"/>
        </w:rPr>
        <w:t>87</w:t>
      </w:r>
    </w:p>
    <w:p w14:paraId="093B8530" w14:textId="69C3E61B" w:rsidR="001176EB" w:rsidRDefault="001176EB">
      <w:pPr>
        <w:rPr>
          <w:rFonts w:ascii="Times New Roman" w:hAnsi="Times New Roman" w:cs="Times New Roman"/>
        </w:rPr>
      </w:pPr>
      <w:r>
        <w:rPr>
          <w:rFonts w:ascii="Times New Roman" w:hAnsi="Times New Roman" w:cs="Times New Roman"/>
        </w:rPr>
        <w:t>Fomby, Hill and Johnson 1984</w:t>
      </w:r>
    </w:p>
    <w:p w14:paraId="395A3F2B" w14:textId="4A9EB879" w:rsidR="001176EB" w:rsidRDefault="0054500B">
      <w:pPr>
        <w:rPr>
          <w:rFonts w:ascii="Times New Roman" w:hAnsi="Times New Roman" w:cs="Times New Roman"/>
        </w:rPr>
      </w:pPr>
      <w:r>
        <w:rPr>
          <w:rFonts w:ascii="Times New Roman" w:hAnsi="Times New Roman" w:cs="Times New Roman"/>
        </w:rPr>
        <w:t>Fosu, K. Yerfi 1992</w:t>
      </w:r>
    </w:p>
    <w:p w14:paraId="1936A107" w14:textId="0864D714" w:rsidR="0054500B" w:rsidRDefault="0054500B">
      <w:pPr>
        <w:rPr>
          <w:rFonts w:ascii="Times New Roman" w:hAnsi="Times New Roman" w:cs="Times New Roman"/>
        </w:rPr>
      </w:pPr>
      <w:r>
        <w:rPr>
          <w:rFonts w:ascii="Times New Roman" w:hAnsi="Times New Roman" w:cs="Times New Roman"/>
        </w:rPr>
        <w:t>Judge, et al 1985</w:t>
      </w:r>
      <w:r w:rsidR="00D52E61">
        <w:rPr>
          <w:rFonts w:ascii="Times New Roman" w:hAnsi="Times New Roman" w:cs="Times New Roman"/>
        </w:rPr>
        <w:t>.</w:t>
      </w:r>
    </w:p>
    <w:p w14:paraId="45B2411A" w14:textId="11A0BA51" w:rsidR="00F74DF1" w:rsidRPr="00FD4A93" w:rsidRDefault="00F74DF1">
      <w:pPr>
        <w:rPr>
          <w:rFonts w:ascii="Times New Roman" w:hAnsi="Times New Roman" w:cs="Times New Roman"/>
        </w:rPr>
      </w:pPr>
      <w:r>
        <w:rPr>
          <w:rFonts w:ascii="Times New Roman" w:hAnsi="Times New Roman" w:cs="Times New Roman"/>
        </w:rPr>
        <w:t xml:space="preserve">        </w:t>
      </w:r>
    </w:p>
    <w:sectPr w:rsidR="00F74DF1" w:rsidRPr="00FD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EA"/>
    <w:rsid w:val="00002B54"/>
    <w:rsid w:val="000140CD"/>
    <w:rsid w:val="00024328"/>
    <w:rsid w:val="00024F74"/>
    <w:rsid w:val="000302E7"/>
    <w:rsid w:val="000446AA"/>
    <w:rsid w:val="00051513"/>
    <w:rsid w:val="000524FC"/>
    <w:rsid w:val="0005343E"/>
    <w:rsid w:val="00054AF0"/>
    <w:rsid w:val="00055EA7"/>
    <w:rsid w:val="0006005E"/>
    <w:rsid w:val="000709F4"/>
    <w:rsid w:val="00071387"/>
    <w:rsid w:val="00073C02"/>
    <w:rsid w:val="00074CBC"/>
    <w:rsid w:val="000858AC"/>
    <w:rsid w:val="00090E1C"/>
    <w:rsid w:val="000A3748"/>
    <w:rsid w:val="000A3A81"/>
    <w:rsid w:val="000B0EFF"/>
    <w:rsid w:val="000B3B2F"/>
    <w:rsid w:val="000B4DE9"/>
    <w:rsid w:val="000C0F34"/>
    <w:rsid w:val="000C3F03"/>
    <w:rsid w:val="000D5A52"/>
    <w:rsid w:val="000E7E4A"/>
    <w:rsid w:val="000F7C33"/>
    <w:rsid w:val="00100B59"/>
    <w:rsid w:val="001010C8"/>
    <w:rsid w:val="00113AFA"/>
    <w:rsid w:val="001176EB"/>
    <w:rsid w:val="00124BE0"/>
    <w:rsid w:val="00126BE4"/>
    <w:rsid w:val="001423C4"/>
    <w:rsid w:val="001426C3"/>
    <w:rsid w:val="00150957"/>
    <w:rsid w:val="00170F55"/>
    <w:rsid w:val="00170F97"/>
    <w:rsid w:val="00172D2F"/>
    <w:rsid w:val="0018415A"/>
    <w:rsid w:val="001868AB"/>
    <w:rsid w:val="001964D2"/>
    <w:rsid w:val="001B5248"/>
    <w:rsid w:val="001C0597"/>
    <w:rsid w:val="001C1EEE"/>
    <w:rsid w:val="001C43F0"/>
    <w:rsid w:val="001C562D"/>
    <w:rsid w:val="001C79F7"/>
    <w:rsid w:val="001D0437"/>
    <w:rsid w:val="001D53D3"/>
    <w:rsid w:val="001E1A83"/>
    <w:rsid w:val="001E2585"/>
    <w:rsid w:val="001E5299"/>
    <w:rsid w:val="001F179D"/>
    <w:rsid w:val="001F4E5D"/>
    <w:rsid w:val="001F5204"/>
    <w:rsid w:val="001F6F49"/>
    <w:rsid w:val="002050BB"/>
    <w:rsid w:val="00205568"/>
    <w:rsid w:val="0021018F"/>
    <w:rsid w:val="00217428"/>
    <w:rsid w:val="002245CC"/>
    <w:rsid w:val="00227A04"/>
    <w:rsid w:val="00235E2C"/>
    <w:rsid w:val="00236BA0"/>
    <w:rsid w:val="00254185"/>
    <w:rsid w:val="002728D2"/>
    <w:rsid w:val="00274265"/>
    <w:rsid w:val="0027548C"/>
    <w:rsid w:val="0027775C"/>
    <w:rsid w:val="00286160"/>
    <w:rsid w:val="00291D3B"/>
    <w:rsid w:val="002976D5"/>
    <w:rsid w:val="002A4B34"/>
    <w:rsid w:val="002A58AF"/>
    <w:rsid w:val="002B5F27"/>
    <w:rsid w:val="002C236C"/>
    <w:rsid w:val="002D5199"/>
    <w:rsid w:val="002D5E71"/>
    <w:rsid w:val="002F4D48"/>
    <w:rsid w:val="00301490"/>
    <w:rsid w:val="00305169"/>
    <w:rsid w:val="003130C4"/>
    <w:rsid w:val="00313209"/>
    <w:rsid w:val="00317C6D"/>
    <w:rsid w:val="0032444B"/>
    <w:rsid w:val="00326036"/>
    <w:rsid w:val="00350438"/>
    <w:rsid w:val="00354C9A"/>
    <w:rsid w:val="00362825"/>
    <w:rsid w:val="00364FCA"/>
    <w:rsid w:val="003664A3"/>
    <w:rsid w:val="00381A08"/>
    <w:rsid w:val="003820AC"/>
    <w:rsid w:val="00390612"/>
    <w:rsid w:val="003908D5"/>
    <w:rsid w:val="00392116"/>
    <w:rsid w:val="00396BA8"/>
    <w:rsid w:val="003979AF"/>
    <w:rsid w:val="003A2588"/>
    <w:rsid w:val="003C1247"/>
    <w:rsid w:val="003C3469"/>
    <w:rsid w:val="003D5552"/>
    <w:rsid w:val="003E1CFA"/>
    <w:rsid w:val="003F769F"/>
    <w:rsid w:val="00401749"/>
    <w:rsid w:val="00410BD4"/>
    <w:rsid w:val="0041418C"/>
    <w:rsid w:val="00422688"/>
    <w:rsid w:val="00451CBF"/>
    <w:rsid w:val="00457BF6"/>
    <w:rsid w:val="004720CA"/>
    <w:rsid w:val="00496B83"/>
    <w:rsid w:val="004A0B5F"/>
    <w:rsid w:val="004A3D2F"/>
    <w:rsid w:val="004B0D45"/>
    <w:rsid w:val="004C34CF"/>
    <w:rsid w:val="004D1E50"/>
    <w:rsid w:val="004E42D2"/>
    <w:rsid w:val="004E4EB8"/>
    <w:rsid w:val="004E634B"/>
    <w:rsid w:val="004F468F"/>
    <w:rsid w:val="005133ED"/>
    <w:rsid w:val="00516B54"/>
    <w:rsid w:val="00522D85"/>
    <w:rsid w:val="005232B7"/>
    <w:rsid w:val="005240D8"/>
    <w:rsid w:val="00524AA8"/>
    <w:rsid w:val="00533955"/>
    <w:rsid w:val="005352B5"/>
    <w:rsid w:val="005365C7"/>
    <w:rsid w:val="005433C5"/>
    <w:rsid w:val="005445F4"/>
    <w:rsid w:val="0054500B"/>
    <w:rsid w:val="00552669"/>
    <w:rsid w:val="005747E1"/>
    <w:rsid w:val="00580725"/>
    <w:rsid w:val="005903C1"/>
    <w:rsid w:val="00590690"/>
    <w:rsid w:val="00592D94"/>
    <w:rsid w:val="00595ACA"/>
    <w:rsid w:val="00597AB2"/>
    <w:rsid w:val="005A5077"/>
    <w:rsid w:val="005B14B7"/>
    <w:rsid w:val="005B61BE"/>
    <w:rsid w:val="005B7B9C"/>
    <w:rsid w:val="005C5333"/>
    <w:rsid w:val="005D7558"/>
    <w:rsid w:val="005E2908"/>
    <w:rsid w:val="00611C27"/>
    <w:rsid w:val="006144BA"/>
    <w:rsid w:val="006178F4"/>
    <w:rsid w:val="00620321"/>
    <w:rsid w:val="006207FB"/>
    <w:rsid w:val="006256B1"/>
    <w:rsid w:val="006267AE"/>
    <w:rsid w:val="00632B44"/>
    <w:rsid w:val="0064106D"/>
    <w:rsid w:val="00653448"/>
    <w:rsid w:val="00653D40"/>
    <w:rsid w:val="0066428A"/>
    <w:rsid w:val="00666378"/>
    <w:rsid w:val="0067439B"/>
    <w:rsid w:val="00674A87"/>
    <w:rsid w:val="00682919"/>
    <w:rsid w:val="00692239"/>
    <w:rsid w:val="006A5045"/>
    <w:rsid w:val="006D12D3"/>
    <w:rsid w:val="006D1FE8"/>
    <w:rsid w:val="006D6671"/>
    <w:rsid w:val="006E057B"/>
    <w:rsid w:val="006E3F31"/>
    <w:rsid w:val="006F038C"/>
    <w:rsid w:val="006F1F79"/>
    <w:rsid w:val="006F742C"/>
    <w:rsid w:val="00701861"/>
    <w:rsid w:val="00712416"/>
    <w:rsid w:val="00727A93"/>
    <w:rsid w:val="00741189"/>
    <w:rsid w:val="00745C3C"/>
    <w:rsid w:val="007569B2"/>
    <w:rsid w:val="007618EA"/>
    <w:rsid w:val="00764362"/>
    <w:rsid w:val="007702F8"/>
    <w:rsid w:val="00776F59"/>
    <w:rsid w:val="00782376"/>
    <w:rsid w:val="007828E4"/>
    <w:rsid w:val="00783825"/>
    <w:rsid w:val="00784B62"/>
    <w:rsid w:val="007A2534"/>
    <w:rsid w:val="007A6FDA"/>
    <w:rsid w:val="007D1DCB"/>
    <w:rsid w:val="007D74BB"/>
    <w:rsid w:val="007E1A35"/>
    <w:rsid w:val="007E3FD1"/>
    <w:rsid w:val="007E60D3"/>
    <w:rsid w:val="007F4599"/>
    <w:rsid w:val="007F61B9"/>
    <w:rsid w:val="00800B49"/>
    <w:rsid w:val="008013C0"/>
    <w:rsid w:val="00805168"/>
    <w:rsid w:val="0081156F"/>
    <w:rsid w:val="00813B9F"/>
    <w:rsid w:val="00814404"/>
    <w:rsid w:val="00816425"/>
    <w:rsid w:val="0082045A"/>
    <w:rsid w:val="00821AC0"/>
    <w:rsid w:val="00822CB6"/>
    <w:rsid w:val="00831B18"/>
    <w:rsid w:val="00833595"/>
    <w:rsid w:val="00837814"/>
    <w:rsid w:val="00840C10"/>
    <w:rsid w:val="008436DD"/>
    <w:rsid w:val="008444D1"/>
    <w:rsid w:val="008448E8"/>
    <w:rsid w:val="00846B5C"/>
    <w:rsid w:val="00850CBB"/>
    <w:rsid w:val="00851AC4"/>
    <w:rsid w:val="00857B18"/>
    <w:rsid w:val="00860935"/>
    <w:rsid w:val="00860ED8"/>
    <w:rsid w:val="008719A9"/>
    <w:rsid w:val="00871F80"/>
    <w:rsid w:val="00884D56"/>
    <w:rsid w:val="00890545"/>
    <w:rsid w:val="00897D25"/>
    <w:rsid w:val="008C0743"/>
    <w:rsid w:val="008C1F40"/>
    <w:rsid w:val="008C2871"/>
    <w:rsid w:val="008D4E16"/>
    <w:rsid w:val="008E6278"/>
    <w:rsid w:val="008F6816"/>
    <w:rsid w:val="00905C76"/>
    <w:rsid w:val="00921263"/>
    <w:rsid w:val="00937436"/>
    <w:rsid w:val="00944AD8"/>
    <w:rsid w:val="00951204"/>
    <w:rsid w:val="00955111"/>
    <w:rsid w:val="00960C18"/>
    <w:rsid w:val="00970D68"/>
    <w:rsid w:val="00971099"/>
    <w:rsid w:val="0098130D"/>
    <w:rsid w:val="00985B69"/>
    <w:rsid w:val="0098699D"/>
    <w:rsid w:val="0099476E"/>
    <w:rsid w:val="00997224"/>
    <w:rsid w:val="009B4CAA"/>
    <w:rsid w:val="009C040D"/>
    <w:rsid w:val="009C266F"/>
    <w:rsid w:val="009D7040"/>
    <w:rsid w:val="009D732A"/>
    <w:rsid w:val="009F3530"/>
    <w:rsid w:val="00A00B84"/>
    <w:rsid w:val="00A131E9"/>
    <w:rsid w:val="00A24591"/>
    <w:rsid w:val="00A359C6"/>
    <w:rsid w:val="00A53359"/>
    <w:rsid w:val="00A53538"/>
    <w:rsid w:val="00A547CE"/>
    <w:rsid w:val="00A556F7"/>
    <w:rsid w:val="00A63B5D"/>
    <w:rsid w:val="00A82C81"/>
    <w:rsid w:val="00A84D2F"/>
    <w:rsid w:val="00A96B45"/>
    <w:rsid w:val="00AA575F"/>
    <w:rsid w:val="00AA5C6E"/>
    <w:rsid w:val="00AC5D23"/>
    <w:rsid w:val="00AD0E5D"/>
    <w:rsid w:val="00AD354B"/>
    <w:rsid w:val="00AD4716"/>
    <w:rsid w:val="00AE0D93"/>
    <w:rsid w:val="00AE26E2"/>
    <w:rsid w:val="00AF11D9"/>
    <w:rsid w:val="00AF3F85"/>
    <w:rsid w:val="00B03494"/>
    <w:rsid w:val="00B04535"/>
    <w:rsid w:val="00B12C21"/>
    <w:rsid w:val="00B20280"/>
    <w:rsid w:val="00B21827"/>
    <w:rsid w:val="00B35749"/>
    <w:rsid w:val="00B366DB"/>
    <w:rsid w:val="00B45FF7"/>
    <w:rsid w:val="00B52C9C"/>
    <w:rsid w:val="00B650A2"/>
    <w:rsid w:val="00B67353"/>
    <w:rsid w:val="00B80253"/>
    <w:rsid w:val="00B945B3"/>
    <w:rsid w:val="00B95ABD"/>
    <w:rsid w:val="00BA6FFD"/>
    <w:rsid w:val="00BB0BE9"/>
    <w:rsid w:val="00BB4278"/>
    <w:rsid w:val="00BB4C43"/>
    <w:rsid w:val="00BD079A"/>
    <w:rsid w:val="00BD5078"/>
    <w:rsid w:val="00BE15E0"/>
    <w:rsid w:val="00BE503F"/>
    <w:rsid w:val="00BE5F6D"/>
    <w:rsid w:val="00BF1532"/>
    <w:rsid w:val="00C06EDE"/>
    <w:rsid w:val="00C168E2"/>
    <w:rsid w:val="00C225C9"/>
    <w:rsid w:val="00C22AEC"/>
    <w:rsid w:val="00C23C81"/>
    <w:rsid w:val="00C275FA"/>
    <w:rsid w:val="00C36727"/>
    <w:rsid w:val="00C442DA"/>
    <w:rsid w:val="00C70350"/>
    <w:rsid w:val="00C708B6"/>
    <w:rsid w:val="00C736AE"/>
    <w:rsid w:val="00C7605A"/>
    <w:rsid w:val="00C82F3F"/>
    <w:rsid w:val="00C910F4"/>
    <w:rsid w:val="00C95DDE"/>
    <w:rsid w:val="00CA3998"/>
    <w:rsid w:val="00CA502B"/>
    <w:rsid w:val="00CB5C69"/>
    <w:rsid w:val="00CC0246"/>
    <w:rsid w:val="00CC3A72"/>
    <w:rsid w:val="00CC65D9"/>
    <w:rsid w:val="00CC6A73"/>
    <w:rsid w:val="00CC7C57"/>
    <w:rsid w:val="00CF0CC2"/>
    <w:rsid w:val="00D01332"/>
    <w:rsid w:val="00D068EA"/>
    <w:rsid w:val="00D12FA2"/>
    <w:rsid w:val="00D27667"/>
    <w:rsid w:val="00D35602"/>
    <w:rsid w:val="00D4352B"/>
    <w:rsid w:val="00D47820"/>
    <w:rsid w:val="00D52E61"/>
    <w:rsid w:val="00D55229"/>
    <w:rsid w:val="00D67AB5"/>
    <w:rsid w:val="00D72A15"/>
    <w:rsid w:val="00D73E68"/>
    <w:rsid w:val="00DA7F3F"/>
    <w:rsid w:val="00DB27A1"/>
    <w:rsid w:val="00DB5EE7"/>
    <w:rsid w:val="00DB5F13"/>
    <w:rsid w:val="00DC0BDD"/>
    <w:rsid w:val="00DC504D"/>
    <w:rsid w:val="00DD1DCF"/>
    <w:rsid w:val="00DE5E79"/>
    <w:rsid w:val="00DE79A9"/>
    <w:rsid w:val="00E03D0F"/>
    <w:rsid w:val="00E0744E"/>
    <w:rsid w:val="00E1452F"/>
    <w:rsid w:val="00E22060"/>
    <w:rsid w:val="00E22E87"/>
    <w:rsid w:val="00E26F67"/>
    <w:rsid w:val="00E33A9A"/>
    <w:rsid w:val="00E35A4E"/>
    <w:rsid w:val="00E37313"/>
    <w:rsid w:val="00E4374A"/>
    <w:rsid w:val="00E5701A"/>
    <w:rsid w:val="00E75795"/>
    <w:rsid w:val="00E859B2"/>
    <w:rsid w:val="00E86865"/>
    <w:rsid w:val="00E87DB1"/>
    <w:rsid w:val="00E917B6"/>
    <w:rsid w:val="00E92E70"/>
    <w:rsid w:val="00E934C1"/>
    <w:rsid w:val="00E938D2"/>
    <w:rsid w:val="00EB31FA"/>
    <w:rsid w:val="00EE30CC"/>
    <w:rsid w:val="00EE58C7"/>
    <w:rsid w:val="00EF1E1B"/>
    <w:rsid w:val="00F06ACA"/>
    <w:rsid w:val="00F27859"/>
    <w:rsid w:val="00F52202"/>
    <w:rsid w:val="00F528C2"/>
    <w:rsid w:val="00F660A0"/>
    <w:rsid w:val="00F67EF0"/>
    <w:rsid w:val="00F74DF1"/>
    <w:rsid w:val="00F75693"/>
    <w:rsid w:val="00F93511"/>
    <w:rsid w:val="00F94F86"/>
    <w:rsid w:val="00F97A43"/>
    <w:rsid w:val="00FA484F"/>
    <w:rsid w:val="00FB6DC6"/>
    <w:rsid w:val="00FC00B3"/>
    <w:rsid w:val="00FC3C7E"/>
    <w:rsid w:val="00FC6262"/>
    <w:rsid w:val="00FC634C"/>
    <w:rsid w:val="00FC6904"/>
    <w:rsid w:val="00FD4A93"/>
    <w:rsid w:val="00FE2123"/>
    <w:rsid w:val="00FE69B3"/>
    <w:rsid w:val="00FF18CB"/>
    <w:rsid w:val="00FF33E3"/>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453D"/>
  <w15:chartTrackingRefBased/>
  <w15:docId w15:val="{0E709F77-E77F-4816-8D24-8B0026DB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8EA"/>
    <w:rPr>
      <w:rFonts w:eastAsiaTheme="majorEastAsia" w:cstheme="majorBidi"/>
      <w:color w:val="272727" w:themeColor="text1" w:themeTint="D8"/>
    </w:rPr>
  </w:style>
  <w:style w:type="paragraph" w:styleId="Title">
    <w:name w:val="Title"/>
    <w:basedOn w:val="Normal"/>
    <w:next w:val="Normal"/>
    <w:link w:val="TitleChar"/>
    <w:uiPriority w:val="10"/>
    <w:qFormat/>
    <w:rsid w:val="00D06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8EA"/>
    <w:pPr>
      <w:spacing w:before="160"/>
      <w:jc w:val="center"/>
    </w:pPr>
    <w:rPr>
      <w:i/>
      <w:iCs/>
      <w:color w:val="404040" w:themeColor="text1" w:themeTint="BF"/>
    </w:rPr>
  </w:style>
  <w:style w:type="character" w:customStyle="1" w:styleId="QuoteChar">
    <w:name w:val="Quote Char"/>
    <w:basedOn w:val="DefaultParagraphFont"/>
    <w:link w:val="Quote"/>
    <w:uiPriority w:val="29"/>
    <w:rsid w:val="00D068EA"/>
    <w:rPr>
      <w:i/>
      <w:iCs/>
      <w:color w:val="404040" w:themeColor="text1" w:themeTint="BF"/>
    </w:rPr>
  </w:style>
  <w:style w:type="paragraph" w:styleId="ListParagraph">
    <w:name w:val="List Paragraph"/>
    <w:basedOn w:val="Normal"/>
    <w:uiPriority w:val="34"/>
    <w:qFormat/>
    <w:rsid w:val="00D068EA"/>
    <w:pPr>
      <w:ind w:left="720"/>
      <w:contextualSpacing/>
    </w:pPr>
  </w:style>
  <w:style w:type="character" w:styleId="IntenseEmphasis">
    <w:name w:val="Intense Emphasis"/>
    <w:basedOn w:val="DefaultParagraphFont"/>
    <w:uiPriority w:val="21"/>
    <w:qFormat/>
    <w:rsid w:val="00D068EA"/>
    <w:rPr>
      <w:i/>
      <w:iCs/>
      <w:color w:val="0F4761" w:themeColor="accent1" w:themeShade="BF"/>
    </w:rPr>
  </w:style>
  <w:style w:type="paragraph" w:styleId="IntenseQuote">
    <w:name w:val="Intense Quote"/>
    <w:basedOn w:val="Normal"/>
    <w:next w:val="Normal"/>
    <w:link w:val="IntenseQuoteChar"/>
    <w:uiPriority w:val="30"/>
    <w:qFormat/>
    <w:rsid w:val="00D06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8EA"/>
    <w:rPr>
      <w:i/>
      <w:iCs/>
      <w:color w:val="0F4761" w:themeColor="accent1" w:themeShade="BF"/>
    </w:rPr>
  </w:style>
  <w:style w:type="character" w:styleId="IntenseReference">
    <w:name w:val="Intense Reference"/>
    <w:basedOn w:val="DefaultParagraphFont"/>
    <w:uiPriority w:val="32"/>
    <w:qFormat/>
    <w:rsid w:val="00D06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2393</TotalTime>
  <Pages>8</Pages>
  <Words>2341</Words>
  <Characters>13347</Characters>
  <Application>Microsoft Office Word</Application>
  <DocSecurity>0</DocSecurity>
  <Lines>111</Lines>
  <Paragraphs>31</Paragraphs>
  <ScaleCrop>false</ScaleCrop>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Vicentia Amartey</dc:creator>
  <cp:keywords/>
  <dc:description/>
  <cp:lastModifiedBy>Vicentia Amartey</cp:lastModifiedBy>
  <cp:revision>388</cp:revision>
  <dcterms:created xsi:type="dcterms:W3CDTF">2025-09-05T17:55:00Z</dcterms:created>
  <dcterms:modified xsi:type="dcterms:W3CDTF">2025-09-07T09:48:00Z</dcterms:modified>
</cp:coreProperties>
</file>