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39F5" w14:textId="77777777" w:rsidR="00884682" w:rsidRDefault="00000000">
      <w:pPr>
        <w:jc w:val="center"/>
      </w:pPr>
      <w:r>
        <w:rPr>
          <w:b/>
          <w:color w:val="1F497D"/>
          <w:sz w:val="44"/>
        </w:rPr>
        <w:t>MÜŞTERİ YAŞAM BOYU DEĞERİNİ TAHMİN EDEBİLİR MİYİZ?</w:t>
      </w:r>
    </w:p>
    <w:p w14:paraId="6DCB40F8" w14:textId="77777777" w:rsidR="00884682" w:rsidRDefault="00000000">
      <w:pPr>
        <w:jc w:val="center"/>
      </w:pPr>
      <w:r>
        <w:rPr>
          <w:i/>
          <w:color w:val="808080"/>
          <w:sz w:val="28"/>
        </w:rPr>
        <w:t>Kapsamlı Akademik Analiz ve Literatür İncelemesi</w:t>
      </w:r>
    </w:p>
    <w:p w14:paraId="2988698C" w14:textId="77777777" w:rsidR="00884682" w:rsidRDefault="00000000">
      <w:pPr>
        <w:jc w:val="center"/>
      </w:pPr>
      <w:r>
        <w:t>Yazarlar: Edward C. Malthouse &amp; Robert C. Blattberg (Journal of Interactive Marketing, 2005)</w:t>
      </w:r>
    </w:p>
    <w:p w14:paraId="7145F8A6" w14:textId="77777777" w:rsidR="00884682" w:rsidRDefault="00000000">
      <w:pPr>
        <w:pStyle w:val="Balk1"/>
      </w:pPr>
      <w:r>
        <w:t>1. GİRİŞ VE LİTERATÜR TARAMASI</w:t>
      </w:r>
    </w:p>
    <w:p w14:paraId="2460DB83" w14:textId="77777777" w:rsidR="00884682" w:rsidRDefault="00000000">
      <w:r>
        <w:t>İlişkisel pazarlama (relationship marketing) ve müşteri sermayesi (customer equity) teorileri, şirketlerin karlılıklarını maksimize etmek için odaklanmaları gereken temel unsurun "en iyi müşteriler" olduğunu savunur. Sheth, Mittal ve Newman (1999) ile Blattberg, Getz ve Thomas (2001) tarafından da desteklenen bu görüşe göre, firmalar müşterilerinin gelecekteki karlılığını öngörebilir ve kısıtlı pazarlama kaynaklarını bu karlı kitleye orantısız bir şekilde (daha yoğun) tahsis etmelidir.</w:t>
      </w:r>
    </w:p>
    <w:p w14:paraId="32D1F6F3" w14:textId="77777777" w:rsidR="00884682" w:rsidRDefault="00000000">
      <w:r>
        <w:t>Müşteri Yaşam Boyu Değeri (CLV - Customer Lifetime Value), Dwyer (1997) tarafından "müşterilerden beklenen faydaların (örneğin brüt kar marjı) mevcut değeri ile bu müşteriye hizmet vermenin ve onunla iletişim kurmanın getirdiği yüklerin (örneğin doğrudan hizmet maliyetleri) mevcut değeri arasındaki fark" olarak tanımlanmıştır. Hennig-Thurau ve Hansen (2000), ilişkisel pazarlamada tekil müşterilerle olan bağların "uygun yönetim ve yatırım gerektiren sermaye varlıkları" olarak görülmesi gerektiğini vurgular. Literatürde, müşterilerin küçük bir yüzdesinin gelir ve karların çok büyük bir bölümünü oluşturduğu (Mulhern, 1999) gerçeği sıkça dile getirilmektedir.</w:t>
      </w:r>
    </w:p>
    <w:p w14:paraId="3BFB9142" w14:textId="77777777" w:rsidR="00884682" w:rsidRDefault="00000000">
      <w:r>
        <w:t>Ancak Malthouse ve Blattberg, tüm bu teorilerin temelinde devasa bir varsayım yattığını tespit etmişlerdir: "Müşterinin gelecekteki değeri kesin olarak tahmin edilebilir." Eğer bu tahmin edilebilirlik (regresyon terimleriyle R² = 1) mükemmel değilse, şirketlerin asimetrik yatırım yapması büyük bir hataya dönüşebilir. Eğer tahmin edilebilirliğin zayıf olduğu (R² = 0 veya çok düşük) bir senaryo geçerliyse, firmaların tüm müşterilerine eşit (egalitarian) muamele yapması çok daha rasyonel olacaktır.</w:t>
      </w:r>
    </w:p>
    <w:p w14:paraId="2ABEB2CF" w14:textId="77777777" w:rsidR="00574B8E" w:rsidRDefault="00574B8E">
      <w:pPr>
        <w:pStyle w:val="Balk2"/>
      </w:pPr>
    </w:p>
    <w:p w14:paraId="65CDBEDC" w14:textId="77777777" w:rsidR="00574B8E" w:rsidRPr="00574B8E" w:rsidRDefault="00574B8E" w:rsidP="00574B8E"/>
    <w:p w14:paraId="3D0067AB" w14:textId="6DCE9F35" w:rsidR="00884682" w:rsidRDefault="00000000">
      <w:pPr>
        <w:pStyle w:val="Balk2"/>
      </w:pPr>
      <w:r>
        <w:lastRenderedPageBreak/>
        <w:t>1.1. Sınıflandırma Hataları: Yanlış Pozitif ve Yanlış Negatif</w:t>
      </w:r>
    </w:p>
    <w:p w14:paraId="5395EB07" w14:textId="77777777" w:rsidR="00884682" w:rsidRDefault="00000000">
      <w:r>
        <w:t>Bir firmanın müşterilerini en iyi ve sıradan olarak ayırırken yapabileceği iki temel istatistiksel hata vardır ve bu hatalar makalenin omurgasını oluşturur:</w:t>
      </w:r>
    </w:p>
    <w:p w14:paraId="39665890" w14:textId="77777777" w:rsidR="00884682" w:rsidRDefault="00000000">
      <w:r w:rsidRPr="00751A62">
        <w:rPr>
          <w:b/>
          <w:bCs/>
        </w:rPr>
        <w:t xml:space="preserve">Tip I Hata (False Positive - Yanlış Pozitif): </w:t>
      </w:r>
      <w:r>
        <w:t>Gelecekte normal (sıradan) olacak bir müşteriyi, geleceğin "en iyi müşterisi" olarak yanlış sınıflandırmaktır. Bunun maliyeti, firmanın kıt kaynaklarını bu kişiye boş yere harcamasıdır. Makale bu durumu bir yönetici örneğiyle açıklar: Yıllarca lüks kıyafetler, business class uçak biletleri, üst düzey oteller kullanan bir şirket yöneticisi, emekli olduğunda harcamalarını dramatik şekilde kısacaktır. Bu kişinin geçmiş harcamalarına bakan bir veri madenciliği algoritması, onu geleceğin "yıldız" müşterisi sanıp ona VIP ayrıcalıklar sunmaya devam edecektir. Bu tamamen boşa gitmiş bir yatırımdır.</w:t>
      </w:r>
    </w:p>
    <w:p w14:paraId="2660712B" w14:textId="77777777" w:rsidR="00884682" w:rsidRDefault="00000000">
      <w:r w:rsidRPr="00751A62">
        <w:rPr>
          <w:b/>
          <w:bCs/>
        </w:rPr>
        <w:t>Tip II Hata (False Negative - Yanlış Negatif):</w:t>
      </w:r>
      <w:r>
        <w:t xml:space="preserve"> Gelecekte firmanın "en iyi" müşterisi olacak birini, geleceğin "sıradan" müşterisi sanıp ona hiçbir ayrıcalık tanımamaktır. Şu an çok para harcamayan ancak yeni bir işe girdiği için harcamaları patlayacak olan genç bir profesyoneli düşünün. Firma bu kişiyi sıradan müşteri sınıfında tuttuğunda, rakip firmalar bu müşteriyi kapabilir. Müşteri kendisini özel hissetmediği için sadakati gelişmez ve ağızdan ağıza (word-of-mouth) kötü reklam yapabilir. Bu hatanın maliyetini (kaçırılan fırsat maliyeti) ölçmek çok daha zordur ancak şirket için yıkıcıdır.</w:t>
      </w:r>
    </w:p>
    <w:p w14:paraId="230B6404" w14:textId="77777777" w:rsidR="00574B8E" w:rsidRDefault="00574B8E">
      <w:pPr>
        <w:pStyle w:val="Balk1"/>
      </w:pPr>
    </w:p>
    <w:p w14:paraId="733A834D" w14:textId="77777777" w:rsidR="00574B8E" w:rsidRDefault="00574B8E">
      <w:pPr>
        <w:pStyle w:val="Balk1"/>
      </w:pPr>
    </w:p>
    <w:p w14:paraId="378D3444" w14:textId="77777777" w:rsidR="00574B8E" w:rsidRDefault="00574B8E">
      <w:pPr>
        <w:pStyle w:val="Balk1"/>
      </w:pPr>
    </w:p>
    <w:p w14:paraId="7FC22818" w14:textId="77777777" w:rsidR="00574B8E" w:rsidRPr="00574B8E" w:rsidRDefault="00574B8E" w:rsidP="00574B8E"/>
    <w:p w14:paraId="44015841" w14:textId="77777777" w:rsidR="00574B8E" w:rsidRDefault="00574B8E">
      <w:pPr>
        <w:pStyle w:val="Balk1"/>
      </w:pPr>
    </w:p>
    <w:p w14:paraId="4F1243E2" w14:textId="77777777" w:rsidR="00574B8E" w:rsidRPr="00574B8E" w:rsidRDefault="00574B8E" w:rsidP="00574B8E"/>
    <w:p w14:paraId="5CE244D4" w14:textId="058114A3" w:rsidR="00884682" w:rsidRDefault="00000000">
      <w:pPr>
        <w:pStyle w:val="Balk1"/>
      </w:pPr>
      <w:r>
        <w:lastRenderedPageBreak/>
        <w:t>2. PAZARLAMA YATIRIMLARININ SINIFLANDIRILMASI</w:t>
      </w:r>
    </w:p>
    <w:p w14:paraId="6F775A6B" w14:textId="77777777" w:rsidR="00884682" w:rsidRDefault="00000000">
      <w:r>
        <w:t>Day (2000), müşteri ile şirket arasındaki değer katan değişimleri (value-adding exchanges) incelerken, firmaların "bazı müşterilerin diğerlerinden daha eşit" olduğu stratejiler geliştirdiğini söyler. Ancak tüm yatırımlar aynı mantıkla işlemez.</w:t>
      </w:r>
    </w:p>
    <w:p w14:paraId="50D4C02B" w14:textId="77777777" w:rsidR="00884682" w:rsidRDefault="00000000">
      <w:pPr>
        <w:pStyle w:val="Balk2"/>
      </w:pPr>
      <w:r>
        <w:t>2.1. İsteğe Bağlı / Esnek Yatırımlar (Discretionary Marketing Investments)</w:t>
      </w:r>
    </w:p>
    <w:p w14:paraId="0CDD10DC" w14:textId="77777777" w:rsidR="00884682" w:rsidRDefault="00000000">
      <w:r>
        <w:t>Makalenin hedef aldığı ve riskli bulduğu yatırım türü budur. Bu yatırımlarda şirket ile müşteri arasında bir kontrat yoktur. Şirket, tahmin modellerine dayanarak kendi inisiyatifiyle bazı müşterilere özel muamele yapar. Collinger (2002) bunu "sürpriz ve mutluluk (surprises and delights)" olarak adlandırır: Ürünü veya hizmeti zenginleştiren beklenmedik, söz verilmemiş faydalar.</w:t>
      </w:r>
    </w:p>
    <w:p w14:paraId="17DC763B" w14:textId="77777777" w:rsidR="00884682" w:rsidRDefault="00000000">
      <w:r>
        <w:t>• Katalog şirketlerinin bir müşteriye ne kadar bütçe ayırıp kaç katalog yollayacağı.</w:t>
      </w:r>
    </w:p>
    <w:p w14:paraId="7FB072A5" w14:textId="77777777" w:rsidR="00884682" w:rsidRDefault="00000000">
      <w:r>
        <w:t>• Hertz araç kiralama şirketinin en iyi müşterilerine özel, bekleme süresini sıfıra indiren özel bir telefon hattı sunması (Day, 2000).</w:t>
      </w:r>
    </w:p>
    <w:p w14:paraId="2F2B3381" w14:textId="77777777" w:rsidR="00884682" w:rsidRDefault="00000000">
      <w:r>
        <w:t>• Kredi kartı şirketlerinin Caller ID ile en iyi müşterilerini öncelikli çağrı merkezi sırasına alması veya gecikme faizlerini tek taraflı silmesi.</w:t>
      </w:r>
    </w:p>
    <w:p w14:paraId="2763B69A" w14:textId="77777777" w:rsidR="00884682" w:rsidRDefault="00000000">
      <w:r>
        <w:t>• Otellerin en iyi müşterisinin odasına şarap/çiçek bırakması, odayı üst segmente ücretsiz yükseltmesi.</w:t>
      </w:r>
    </w:p>
    <w:p w14:paraId="37610A83" w14:textId="77777777" w:rsidR="00884682" w:rsidRDefault="00000000">
      <w:r>
        <w:t>• Havayollarının sadece o yolcu için uçağı geciktirmesi.</w:t>
      </w:r>
    </w:p>
    <w:p w14:paraId="20DD11E4" w14:textId="77777777" w:rsidR="00884682" w:rsidRDefault="00000000">
      <w:r>
        <w:t>Geyskens vd. (1996) bu durumun müşteride duygusal bir aidiyet (affective commitment) yarattığını belirtir. Rust &amp; Oliver (2000) ise bu aşırı tatmin halini "müşteri coşkusu" olarak adlandırır.</w:t>
      </w:r>
    </w:p>
    <w:p w14:paraId="5C042A8C" w14:textId="77777777" w:rsidR="00884682" w:rsidRDefault="00000000">
      <w:pPr>
        <w:pStyle w:val="Balk2"/>
      </w:pPr>
      <w:r>
        <w:t>2.2. Şartlı / Ödül Bazlı Yatırımlar (Quid-Pro-Quo)</w:t>
      </w:r>
    </w:p>
    <w:p w14:paraId="115300F9" w14:textId="53159D7F" w:rsidR="00574B8E" w:rsidRDefault="00000000" w:rsidP="00574B8E">
      <w:r>
        <w:t xml:space="preserve">Sadakat ve sık uçan yolcu programları bu gruba girer (Yi &amp; Jeon, 2003). Müşteri ile şirket arasında "Şu kadar harcarsan bu ödülü alırsın" şeklinde net bir sözleşme vardır. Bu yatırımlar tahmine değil, gerçekleşen harcamaya (actual future behavior) dayalı olduğu için </w:t>
      </w:r>
      <w:proofErr w:type="spellStart"/>
      <w:r>
        <w:t>makalenin</w:t>
      </w:r>
      <w:proofErr w:type="spellEnd"/>
      <w:r>
        <w:t xml:space="preserve"> </w:t>
      </w:r>
      <w:proofErr w:type="spellStart"/>
      <w:r>
        <w:t>odak</w:t>
      </w:r>
      <w:proofErr w:type="spellEnd"/>
      <w:r>
        <w:t xml:space="preserve"> </w:t>
      </w:r>
      <w:proofErr w:type="spellStart"/>
      <w:r>
        <w:t>noktası</w:t>
      </w:r>
      <w:proofErr w:type="spellEnd"/>
      <w:r>
        <w:t xml:space="preserve"> </w:t>
      </w:r>
      <w:proofErr w:type="spellStart"/>
      <w:r>
        <w:t>dışındadır</w:t>
      </w:r>
      <w:proofErr w:type="spellEnd"/>
      <w:r>
        <w:t>.</w:t>
      </w:r>
    </w:p>
    <w:p w14:paraId="04A9AF06" w14:textId="77777777" w:rsidR="00574B8E" w:rsidRDefault="00574B8E" w:rsidP="00574B8E"/>
    <w:p w14:paraId="72CA0B41" w14:textId="77777777" w:rsidR="00574B8E" w:rsidRPr="00574B8E" w:rsidRDefault="00574B8E" w:rsidP="00574B8E"/>
    <w:p w14:paraId="273E7F86" w14:textId="11980DB8" w:rsidR="00884682" w:rsidRDefault="00000000">
      <w:pPr>
        <w:pStyle w:val="Balk1"/>
      </w:pPr>
      <w:r>
        <w:lastRenderedPageBreak/>
        <w:t>3. ARAŞTIRMANIN METODOLOJİSİ</w:t>
      </w:r>
    </w:p>
    <w:p w14:paraId="23AF08AE" w14:textId="77777777" w:rsidR="00884682" w:rsidRDefault="00000000">
      <w:r>
        <w:t>Müşteri yaşam boyu değerini tahmin etmenin zorluğunu ölçmek için geçmişe yönelik bir simülasyon, yani "Saati Geriye Alma" (Turning back the clock) tasarımı kullanılmıştır.</w:t>
      </w:r>
    </w:p>
    <w:p w14:paraId="0CECBC41" w14:textId="77777777" w:rsidR="00884682" w:rsidRDefault="00000000">
      <w:pPr>
        <w:pStyle w:val="Balk2"/>
      </w:pPr>
      <w:r>
        <w:t>3.1. Taban ve Hedef Periyot Tasarımı</w:t>
      </w:r>
    </w:p>
    <w:p w14:paraId="70FEB033" w14:textId="77777777" w:rsidR="00884682" w:rsidRDefault="00000000">
      <w:r>
        <w:t>Bir firmanın örneğin 1994 ile 2000 yılları arasındaki tüm verisine sahip olduğunu düşünün. Araştırmacılar 1 Ocak 1997 tarihini "ŞİMDİ" (Now) olarak kabul eder. 1994-1996 arası veriler "Taban Periyot" (Base Period), 1997-2000 arası ise tahmin edilmeye çalışılan "Hedef Periyot" (Target Period) olarak tanımlanır. Model taban periyotla eğitilir, hedef periyotta test edilir.</w:t>
      </w:r>
    </w:p>
    <w:p w14:paraId="75BA8345" w14:textId="77777777" w:rsidR="00884682" w:rsidRDefault="00000000">
      <w:pPr>
        <w:pStyle w:val="Balk2"/>
      </w:pPr>
      <w:r>
        <w:t>3.2. Matematiksel CLV Denklemi</w:t>
      </w:r>
    </w:p>
    <w:p w14:paraId="0F4AD9E4" w14:textId="77777777" w:rsidR="00884682" w:rsidRDefault="00000000">
      <w:r>
        <w:t>CLV hesaplanırken şu formül kullanılmıştır: y_i = Σ [ c_it * (1 + d)^-t ]</w:t>
      </w:r>
    </w:p>
    <w:p w14:paraId="4595C1FD" w14:textId="77777777" w:rsidR="00884682" w:rsidRDefault="00000000">
      <w:r>
        <w:t>Burada (y_i) i numaralı müşterinin hedef periyottaki Müşteri Yaşam Boyu Değeridir. (c_it) müşterinin t zamanında firmaya sağladığı net katkıdır (satış eksi pazarlama maliyeti, sipariş işleme vb.). (d) ise paranın zaman değeri için kullanılan %15'lik iskonto oranıdır (Reinartz &amp; Kumar, 2000).</w:t>
      </w:r>
    </w:p>
    <w:p w14:paraId="1D3FEFAA" w14:textId="77777777" w:rsidR="00884682" w:rsidRDefault="00000000">
      <w:pPr>
        <w:pStyle w:val="Balk2"/>
      </w:pPr>
      <w:r>
        <w:t>3.3. Regresyon Modelleri ve İstatistiksel Dönüşümler</w:t>
      </w:r>
    </w:p>
    <w:p w14:paraId="38D9FDB0" w14:textId="77777777" w:rsidR="00884682" w:rsidRPr="00751A62" w:rsidRDefault="00000000">
      <w:pPr>
        <w:rPr>
          <w:b/>
          <w:bCs/>
          <w:szCs w:val="24"/>
        </w:rPr>
      </w:pPr>
      <w:r w:rsidRPr="00751A62">
        <w:rPr>
          <w:b/>
          <w:bCs/>
          <w:szCs w:val="24"/>
        </w:rPr>
        <w:t>Temel Regresyon: g(y_i) = f(x_i) + e_i</w:t>
      </w:r>
    </w:p>
    <w:p w14:paraId="1DE613DE" w14:textId="77777777" w:rsidR="00884682" w:rsidRPr="00574B8E" w:rsidRDefault="00000000">
      <w:pPr>
        <w:rPr>
          <w:sz w:val="20"/>
          <w:szCs w:val="20"/>
        </w:rPr>
      </w:pPr>
      <w:r w:rsidRPr="00574B8E">
        <w:rPr>
          <w:sz w:val="20"/>
          <w:szCs w:val="20"/>
        </w:rPr>
        <w:t>Müşteri harcamaları (CLV) genelde sağa çok çarpık bir dağılıma sahiptir (çok az insan çok büyük para harcar, çoğunluk az para harcar). Ayrıca bağımlı değişken büyüdükçe varyans da artar ki bu durum istatistikte eş varyanslılık (homoscedasticity) ihlaline yol açar. Bunu çözmek için varyans sabitleyici Box-Cox dönüşümleri (Carroll &amp; Ruppert, 1988) uygulanmıştır. Uç değerlerin (outliers) etkisini kırmak için %1'lik Winsorization işlemi yapılmıştır (99. persentilin üstündeki her değer 99. persentile çekilmiştir).</w:t>
      </w:r>
    </w:p>
    <w:p w14:paraId="1E94F7B4" w14:textId="77777777" w:rsidR="00884682" w:rsidRPr="00574B8E" w:rsidRDefault="00000000">
      <w:pPr>
        <w:rPr>
          <w:sz w:val="20"/>
          <w:szCs w:val="20"/>
        </w:rPr>
      </w:pPr>
      <w:r w:rsidRPr="00574B8E">
        <w:rPr>
          <w:sz w:val="20"/>
          <w:szCs w:val="20"/>
        </w:rPr>
        <w:t>Araştırmada kullanılan 3 ayrı tahmin motoru şunlardır:</w:t>
      </w:r>
    </w:p>
    <w:p w14:paraId="53EF75E1" w14:textId="77777777" w:rsidR="00884682" w:rsidRPr="00574B8E" w:rsidRDefault="00000000">
      <w:pPr>
        <w:rPr>
          <w:sz w:val="20"/>
          <w:szCs w:val="20"/>
        </w:rPr>
      </w:pPr>
      <w:r w:rsidRPr="00574B8E">
        <w:rPr>
          <w:sz w:val="20"/>
          <w:szCs w:val="20"/>
        </w:rPr>
        <w:t>1. OLS (En Küçük Kareler Doğrusal Regresyonu): Box-Cox dönüşümleri ile klasik regrasyon.</w:t>
      </w:r>
    </w:p>
    <w:p w14:paraId="248A0923" w14:textId="77777777" w:rsidR="00884682" w:rsidRPr="00574B8E" w:rsidRDefault="00000000">
      <w:pPr>
        <w:rPr>
          <w:sz w:val="20"/>
          <w:szCs w:val="20"/>
        </w:rPr>
      </w:pPr>
      <w:r w:rsidRPr="00574B8E">
        <w:rPr>
          <w:sz w:val="20"/>
          <w:szCs w:val="20"/>
        </w:rPr>
        <w:t>2. IRLS (İteratif Yeniden Ağırlıklandırılmış En Küçük Kareler): Neter vd. (1996) tarafından önerilen bu metotta, OLS kalıntıları mutlak değerce alınarak denkleme tekrar ağırlık olarak eklenir. Bu, gözlemlenemeyen müşteri heterojenliğini hesaba katan "rastgele katsayı" (random coefficient) modelini de temsil eder.</w:t>
      </w:r>
    </w:p>
    <w:p w14:paraId="5E8D59BB" w14:textId="77777777" w:rsidR="00884682" w:rsidRPr="00574B8E" w:rsidRDefault="00000000">
      <w:pPr>
        <w:rPr>
          <w:sz w:val="20"/>
          <w:szCs w:val="20"/>
        </w:rPr>
      </w:pPr>
      <w:r w:rsidRPr="00574B8E">
        <w:rPr>
          <w:sz w:val="20"/>
          <w:szCs w:val="20"/>
        </w:rPr>
        <w:t>3. İleri Beslemeli Yapay Sinir Ağları (Feedforward Neural Networks): Venables &amp; Ripley (1999). Regresyon modellerinin yetersiz kalma ihtimaline karşı makine öğrenimi kullanılarak teorik bir maksimum tahmin sınırı test edilmiştir (S-Plus yazılımıyla).</w:t>
      </w:r>
    </w:p>
    <w:p w14:paraId="6FB848DA" w14:textId="77777777" w:rsidR="00884682" w:rsidRPr="00574B8E" w:rsidRDefault="00000000">
      <w:pPr>
        <w:rPr>
          <w:sz w:val="20"/>
          <w:szCs w:val="20"/>
        </w:rPr>
      </w:pPr>
      <w:r w:rsidRPr="00574B8E">
        <w:rPr>
          <w:sz w:val="20"/>
          <w:szCs w:val="20"/>
        </w:rPr>
        <w:t>Değerlendirme Yöntemi: Efron &amp; Tibshirani'nin (1993) önerdiği şekilde veriler Eğitim (Estimation) ve Test (Holdout) setlerine bölünmüş, küçük setler için ise "10-Fold Cross Validation" (10-katlı çapraz doğrulama) yapılmıştır.</w:t>
      </w:r>
    </w:p>
    <w:p w14:paraId="0BCFBEF2" w14:textId="77777777" w:rsidR="00884682" w:rsidRDefault="00000000">
      <w:pPr>
        <w:pStyle w:val="Balk1"/>
      </w:pPr>
      <w:r>
        <w:lastRenderedPageBreak/>
        <w:t>4. DÖRT FARKLI VERİ SETİNİN İNCELENMESİ</w:t>
      </w:r>
    </w:p>
    <w:p w14:paraId="3BDD052F" w14:textId="77777777" w:rsidR="00884682" w:rsidRDefault="00000000">
      <w:r>
        <w:t>Makalenin gücü, tezini dört tamamen farklı sektör ve veri setinde kanıtlamasından gelir.</w:t>
      </w:r>
    </w:p>
    <w:p w14:paraId="291CA98D" w14:textId="77777777" w:rsidR="00884682" w:rsidRDefault="00000000">
      <w:pPr>
        <w:pStyle w:val="Balk2"/>
      </w:pPr>
      <w:r>
        <w:t>4.1. Hizmet Şirketi (Service Company)</w:t>
      </w:r>
    </w:p>
    <w:p w14:paraId="4BA15905" w14:textId="77777777" w:rsidR="00884682" w:rsidRDefault="00000000">
      <w:r>
        <w:t>150.000 müşterinin dahil olduğu basit bir hizmet firması. İptalin mümkün olmadığı 1, 6 ve 12 aylık abonelik sözleşmeleri satılır. 2 yıllık taban, 3 yıllık hedef periyodu vardır. Kullanılan değişkenler Recency, Frequency, sözleşme türü, müşterilik süresinin yanı sıra iki özel değişkendir: Katılım Miktarı (Involvement Quantity - müşterinin hizmeti ne sıklıkla kullandığı) ve Katılım Kalitesi (Involvement Quality - hizmetten ne kadar fayda sağladığı/öğrendiği). Sabit fiyatı ve tek ürünü olduğu için tahminin EN KOLAY olması beklenen (üst sınır) gruptur.</w:t>
      </w:r>
    </w:p>
    <w:p w14:paraId="07E0E3A5" w14:textId="77777777" w:rsidR="00884682" w:rsidRDefault="00000000">
      <w:pPr>
        <w:pStyle w:val="Balk2"/>
      </w:pPr>
      <w:r>
        <w:t>4.2. Kâr Amacı Gütmeyen Kuruluş (SIG-KDD)</w:t>
      </w:r>
    </w:p>
    <w:p w14:paraId="5989E7B6" w14:textId="77777777" w:rsidR="00884682" w:rsidRDefault="00000000">
      <w:r>
        <w:t>ACM (Association for Computing Machinery) tarafından sağlanan gerçek bir veri yarışması verisidir. Veri seti, 1994-1996 arası düzenli bağış yapan ancak Haziran 1996'dan beri tek kuruş bağış yapmamış (lapsed donors) 191.779 kişinin kaydını içerir. Şirket Haziran 1997'de bu kitleye 22 ayrı posta kartı promosyonu yollamıştır. Posta başına elde edilen ortalama gelir 37.43$ iken, 99. yüzdelik dilim 141$, maksimum bağış ise 8.137$'dır. Veri setinde demografik, hane halkı ve 5 haneli posta kodu verilerini içeren tam 481 farklı değişken (overlay) kullanılmıştır.</w:t>
      </w:r>
    </w:p>
    <w:p w14:paraId="1A8B28DB" w14:textId="77777777" w:rsidR="00884682" w:rsidRDefault="00000000">
      <w:pPr>
        <w:pStyle w:val="Balk2"/>
      </w:pPr>
      <w:r>
        <w:t>4.3. İşletmeden İşletmeye (B2B) Şirketi</w:t>
      </w:r>
    </w:p>
    <w:p w14:paraId="67AB1713" w14:textId="77777777" w:rsidR="00884682" w:rsidRDefault="00000000">
      <w:r>
        <w:t>Büyük bir şirketin 100.000 "küçük işletme" müşterisinin Dunn &amp; Bradstreet verileriyle birleştirilmiş 7 yıllık işlem tarihi. Çok zorlu bir veri setidir çünkü milyonlarca farklı Stok Kodu (SKU), 5 ana ürün hattı, güçlü satın alma mevsimselliği ve aşırı uç noktaları vardır. Dahası, bir makine parçası bugün satıldığında yıllarca tekrar satılmamaktadır, bu da satın alma döngülerini devasa uzatır.</w:t>
      </w:r>
    </w:p>
    <w:p w14:paraId="29A1129D" w14:textId="77777777" w:rsidR="00884682" w:rsidRDefault="00000000">
      <w:pPr>
        <w:pStyle w:val="Balk2"/>
      </w:pPr>
      <w:r>
        <w:t>4.4. Katalog Şirketi (DMEF3 ve Experian Z-24)</w:t>
      </w:r>
    </w:p>
    <w:p w14:paraId="2353DB4B" w14:textId="77777777" w:rsidR="00884682" w:rsidRDefault="00000000">
      <w:r>
        <w:t>DMEF3, 106.284 tüketicinin 12 yıllık sipariş geçmişine sahiptir. Model 41.669 kişi üzerinde 6 yıllık taban ve hedef periyotlarla çalıştırılmıştır.</w:t>
      </w:r>
    </w:p>
    <w:p w14:paraId="63107FF2" w14:textId="77777777" w:rsidR="00884682" w:rsidRDefault="00000000">
      <w:r>
        <w:t>Experian Z-24 veritabanı ise devasa bir havuzdur. Tek bir katalog şirketinin istisnası olmasın diye 131 FARKLI katalog şirketinin verisi kullanılmıştır. Her şirket için en az 3000 olmak üzere 1 milyon hanenin verisi taranmış ve modeller 131 kere ayrı ayrı çalıştırılmıştır.</w:t>
      </w:r>
    </w:p>
    <w:p w14:paraId="0B094D7F" w14:textId="77777777" w:rsidR="00884682" w:rsidRDefault="00000000">
      <w:pPr>
        <w:pStyle w:val="Balk1"/>
      </w:pPr>
      <w:r>
        <w:lastRenderedPageBreak/>
        <w:t>5. TABLOLARIN VE İSTATİSTİKSEL HATALARIN DETAYLI ANALİZİ</w:t>
      </w:r>
    </w:p>
    <w:p w14:paraId="7EEEA7CC" w14:textId="77777777" w:rsidR="00884682" w:rsidRDefault="00000000">
      <w:r>
        <w:t>Araştırmada elde edilen asıl şok edici sonuçlar Sınıflandırma ve Hata Oranları tablolarından çıkmaktadır.</w:t>
      </w:r>
    </w:p>
    <w:p w14:paraId="24A832D3" w14:textId="77777777" w:rsidR="00884682" w:rsidRDefault="00000000">
      <w:pPr>
        <w:pStyle w:val="Balk2"/>
      </w:pPr>
      <w:r>
        <w:t>TABLO 1: Hizmet Şirketi Sınıflandırma Tablosu (3 Yıllık Tahmin)</w:t>
      </w:r>
    </w:p>
    <w:tbl>
      <w:tblPr>
        <w:tblStyle w:val="AkGlgeleme-Vurgu1"/>
        <w:tblW w:w="0" w:type="auto"/>
        <w:tblLook w:val="04A0" w:firstRow="1" w:lastRow="0" w:firstColumn="1" w:lastColumn="0" w:noHBand="0" w:noVBand="1"/>
      </w:tblPr>
      <w:tblGrid>
        <w:gridCol w:w="2340"/>
        <w:gridCol w:w="2340"/>
        <w:gridCol w:w="2340"/>
        <w:gridCol w:w="2340"/>
      </w:tblGrid>
      <w:tr w:rsidR="00884682" w14:paraId="4537B889" w14:textId="77777777" w:rsidTr="008846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3B289EA" w14:textId="77777777" w:rsidR="00884682" w:rsidRDefault="00000000">
            <w:r>
              <w:t>TAHMİN EDİLEN</w:t>
            </w:r>
          </w:p>
        </w:tc>
        <w:tc>
          <w:tcPr>
            <w:tcW w:w="2340" w:type="dxa"/>
          </w:tcPr>
          <w:p w14:paraId="5361B7DD" w14:textId="77777777" w:rsidR="00884682" w:rsidRDefault="00000000">
            <w:pPr>
              <w:cnfStyle w:val="100000000000" w:firstRow="1" w:lastRow="0" w:firstColumn="0" w:lastColumn="0" w:oddVBand="0" w:evenVBand="0" w:oddHBand="0" w:evenHBand="0" w:firstRowFirstColumn="0" w:firstRowLastColumn="0" w:lastRowFirstColumn="0" w:lastRowLastColumn="0"/>
            </w:pPr>
            <w:r>
              <w:t>GERÇEK Alt %80</w:t>
            </w:r>
          </w:p>
        </w:tc>
        <w:tc>
          <w:tcPr>
            <w:tcW w:w="2340" w:type="dxa"/>
          </w:tcPr>
          <w:p w14:paraId="66D77BAA" w14:textId="77777777" w:rsidR="00884682" w:rsidRDefault="00000000">
            <w:pPr>
              <w:cnfStyle w:val="100000000000" w:firstRow="1" w:lastRow="0" w:firstColumn="0" w:lastColumn="0" w:oddVBand="0" w:evenVBand="0" w:oddHBand="0" w:evenHBand="0" w:firstRowFirstColumn="0" w:firstRowLastColumn="0" w:lastRowFirstColumn="0" w:lastRowLastColumn="0"/>
            </w:pPr>
            <w:r>
              <w:t>GERÇEK Üst %20</w:t>
            </w:r>
          </w:p>
        </w:tc>
        <w:tc>
          <w:tcPr>
            <w:tcW w:w="2340" w:type="dxa"/>
          </w:tcPr>
          <w:p w14:paraId="73B0158D" w14:textId="77777777" w:rsidR="00884682" w:rsidRDefault="00000000">
            <w:pPr>
              <w:cnfStyle w:val="100000000000" w:firstRow="1" w:lastRow="0" w:firstColumn="0" w:lastColumn="0" w:oddVBand="0" w:evenVBand="0" w:oddHBand="0" w:evenHBand="0" w:firstRowFirstColumn="0" w:firstRowLastColumn="0" w:lastRowFirstColumn="0" w:lastRowLastColumn="0"/>
            </w:pPr>
            <w:r>
              <w:t>TOPLAM</w:t>
            </w:r>
          </w:p>
        </w:tc>
      </w:tr>
      <w:tr w:rsidR="00884682" w14:paraId="69BF57A2" w14:textId="77777777" w:rsidTr="00884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5AF326B" w14:textId="77777777" w:rsidR="00884682" w:rsidRDefault="00000000">
            <w:r>
              <w:t>Alt %80 (Normal)</w:t>
            </w:r>
          </w:p>
        </w:tc>
        <w:tc>
          <w:tcPr>
            <w:tcW w:w="2340" w:type="dxa"/>
          </w:tcPr>
          <w:p w14:paraId="2D2DF3C3" w14:textId="77777777" w:rsidR="00884682" w:rsidRDefault="00000000">
            <w:pPr>
              <w:cnfStyle w:val="000000100000" w:firstRow="0" w:lastRow="0" w:firstColumn="0" w:lastColumn="0" w:oddVBand="0" w:evenVBand="0" w:oddHBand="1" w:evenHBand="0" w:firstRowFirstColumn="0" w:firstRowLastColumn="0" w:lastRowFirstColumn="0" w:lastRowLastColumn="0"/>
            </w:pPr>
            <w:r>
              <w:t>24,783 (%86.6)</w:t>
            </w:r>
          </w:p>
        </w:tc>
        <w:tc>
          <w:tcPr>
            <w:tcW w:w="2340" w:type="dxa"/>
          </w:tcPr>
          <w:p w14:paraId="56ED3EDA" w14:textId="77777777" w:rsidR="00884682" w:rsidRDefault="00000000">
            <w:pPr>
              <w:cnfStyle w:val="000000100000" w:firstRow="0" w:lastRow="0" w:firstColumn="0" w:lastColumn="0" w:oddVBand="0" w:evenVBand="0" w:oddHBand="1" w:evenHBand="0" w:firstRowFirstColumn="0" w:firstRowLastColumn="0" w:lastRowFirstColumn="0" w:lastRowLastColumn="0"/>
            </w:pPr>
            <w:r>
              <w:t>3,891 (%54.4)</w:t>
            </w:r>
          </w:p>
        </w:tc>
        <w:tc>
          <w:tcPr>
            <w:tcW w:w="2340" w:type="dxa"/>
          </w:tcPr>
          <w:p w14:paraId="6691282E" w14:textId="77777777" w:rsidR="00884682" w:rsidRDefault="00000000">
            <w:pPr>
              <w:cnfStyle w:val="000000100000" w:firstRow="0" w:lastRow="0" w:firstColumn="0" w:lastColumn="0" w:oddVBand="0" w:evenVBand="0" w:oddHBand="1" w:evenHBand="0" w:firstRowFirstColumn="0" w:firstRowLastColumn="0" w:lastRowFirstColumn="0" w:lastRowLastColumn="0"/>
            </w:pPr>
            <w:r>
              <w:t>28,674</w:t>
            </w:r>
          </w:p>
        </w:tc>
      </w:tr>
      <w:tr w:rsidR="00884682" w14:paraId="656FD219" w14:textId="77777777" w:rsidTr="00884682">
        <w:tc>
          <w:tcPr>
            <w:cnfStyle w:val="001000000000" w:firstRow="0" w:lastRow="0" w:firstColumn="1" w:lastColumn="0" w:oddVBand="0" w:evenVBand="0" w:oddHBand="0" w:evenHBand="0" w:firstRowFirstColumn="0" w:firstRowLastColumn="0" w:lastRowFirstColumn="0" w:lastRowLastColumn="0"/>
            <w:tcW w:w="2340" w:type="dxa"/>
          </w:tcPr>
          <w:p w14:paraId="6C91C368" w14:textId="77777777" w:rsidR="00884682" w:rsidRDefault="00000000">
            <w:r>
              <w:t>Üst %20 (En İyi)</w:t>
            </w:r>
          </w:p>
        </w:tc>
        <w:tc>
          <w:tcPr>
            <w:tcW w:w="2340" w:type="dxa"/>
          </w:tcPr>
          <w:p w14:paraId="2F0259A7" w14:textId="77777777" w:rsidR="00884682" w:rsidRDefault="00000000">
            <w:pPr>
              <w:cnfStyle w:val="000000000000" w:firstRow="0" w:lastRow="0" w:firstColumn="0" w:lastColumn="0" w:oddVBand="0" w:evenVBand="0" w:oddHBand="0" w:evenHBand="0" w:firstRowFirstColumn="0" w:firstRowLastColumn="0" w:lastRowFirstColumn="0" w:lastRowLastColumn="0"/>
            </w:pPr>
            <w:r>
              <w:t>3,832 (%13.4)</w:t>
            </w:r>
          </w:p>
        </w:tc>
        <w:tc>
          <w:tcPr>
            <w:tcW w:w="2340" w:type="dxa"/>
          </w:tcPr>
          <w:p w14:paraId="083632AA" w14:textId="77777777" w:rsidR="00884682" w:rsidRDefault="00000000">
            <w:pPr>
              <w:cnfStyle w:val="000000000000" w:firstRow="0" w:lastRow="0" w:firstColumn="0" w:lastColumn="0" w:oddVBand="0" w:evenVBand="0" w:oddHBand="0" w:evenHBand="0" w:firstRowFirstColumn="0" w:firstRowLastColumn="0" w:lastRowFirstColumn="0" w:lastRowLastColumn="0"/>
            </w:pPr>
            <w:r>
              <w:t>3,263 (%45.6)</w:t>
            </w:r>
          </w:p>
        </w:tc>
        <w:tc>
          <w:tcPr>
            <w:tcW w:w="2340" w:type="dxa"/>
          </w:tcPr>
          <w:p w14:paraId="224252D1" w14:textId="77777777" w:rsidR="00884682" w:rsidRDefault="00000000">
            <w:pPr>
              <w:cnfStyle w:val="000000000000" w:firstRow="0" w:lastRow="0" w:firstColumn="0" w:lastColumn="0" w:oddVBand="0" w:evenVBand="0" w:oddHBand="0" w:evenHBand="0" w:firstRowFirstColumn="0" w:firstRowLastColumn="0" w:lastRowFirstColumn="0" w:lastRowLastColumn="0"/>
            </w:pPr>
            <w:r>
              <w:t>7,095</w:t>
            </w:r>
          </w:p>
        </w:tc>
      </w:tr>
      <w:tr w:rsidR="00884682" w14:paraId="2F9203FE" w14:textId="77777777" w:rsidTr="00884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DBEF70" w14:textId="77777777" w:rsidR="00884682" w:rsidRDefault="00000000">
            <w:r>
              <w:t>Toplam</w:t>
            </w:r>
          </w:p>
        </w:tc>
        <w:tc>
          <w:tcPr>
            <w:tcW w:w="2340" w:type="dxa"/>
          </w:tcPr>
          <w:p w14:paraId="497D53CF" w14:textId="77777777" w:rsidR="00884682" w:rsidRDefault="00000000">
            <w:pPr>
              <w:cnfStyle w:val="000000100000" w:firstRow="0" w:lastRow="0" w:firstColumn="0" w:lastColumn="0" w:oddVBand="0" w:evenVBand="0" w:oddHBand="1" w:evenHBand="0" w:firstRowFirstColumn="0" w:firstRowLastColumn="0" w:lastRowFirstColumn="0" w:lastRowLastColumn="0"/>
            </w:pPr>
            <w:r>
              <w:t>28,615</w:t>
            </w:r>
          </w:p>
        </w:tc>
        <w:tc>
          <w:tcPr>
            <w:tcW w:w="2340" w:type="dxa"/>
          </w:tcPr>
          <w:p w14:paraId="680507E9" w14:textId="77777777" w:rsidR="00884682" w:rsidRDefault="00000000">
            <w:pPr>
              <w:cnfStyle w:val="000000100000" w:firstRow="0" w:lastRow="0" w:firstColumn="0" w:lastColumn="0" w:oddVBand="0" w:evenVBand="0" w:oddHBand="1" w:evenHBand="0" w:firstRowFirstColumn="0" w:firstRowLastColumn="0" w:lastRowFirstColumn="0" w:lastRowLastColumn="0"/>
            </w:pPr>
            <w:r>
              <w:t>7,154</w:t>
            </w:r>
          </w:p>
        </w:tc>
        <w:tc>
          <w:tcPr>
            <w:tcW w:w="2340" w:type="dxa"/>
          </w:tcPr>
          <w:p w14:paraId="240D5C13" w14:textId="77777777" w:rsidR="00884682" w:rsidRDefault="00000000">
            <w:pPr>
              <w:cnfStyle w:val="000000100000" w:firstRow="0" w:lastRow="0" w:firstColumn="0" w:lastColumn="0" w:oddVBand="0" w:evenVBand="0" w:oddHBand="1" w:evenHBand="0" w:firstRowFirstColumn="0" w:firstRowLastColumn="0" w:lastRowFirstColumn="0" w:lastRowLastColumn="0"/>
            </w:pPr>
            <w:r>
              <w:t>35,769</w:t>
            </w:r>
          </w:p>
        </w:tc>
      </w:tr>
    </w:tbl>
    <w:p w14:paraId="0FAFFEDE" w14:textId="77777777" w:rsidR="00884682" w:rsidRDefault="00000000">
      <w:r>
        <w:t>Tablo 1 Analizi:</w:t>
      </w:r>
    </w:p>
    <w:p w14:paraId="6DD14B16" w14:textId="77777777" w:rsidR="00884682" w:rsidRDefault="00000000">
      <w:r>
        <w:t>Sıfır hipotezi (H0), müşterinin alt %80'lik dilimde olduğu (özel muameleyi hak etmediği) şeklindedir. Alternatif hipotez (H1) müşterinin en iyi %20'de olduğudur.</w:t>
      </w:r>
    </w:p>
    <w:p w14:paraId="113A6CED" w14:textId="77777777" w:rsidR="00884682" w:rsidRDefault="00000000">
      <w:r>
        <w:t>1. Yanlış Pozitif (False Positive Rate): Model, gerçekte "Alt %80" diliminde olacak 28.615 kişinin 3.832'sini (yani %13.4'ünü) "en iyi müşteri" zannetmiş ve onlara VIP ayrıcalığı tanımlamıştır. Şirketin kıt kaynağı boşa gitmiştir.</w:t>
      </w:r>
    </w:p>
    <w:p w14:paraId="0971832A" w14:textId="77777777" w:rsidR="00884682" w:rsidRDefault="00000000">
      <w:r>
        <w:t>2. Yanlış Negatif (False Negative Rate): Gerçekte gelecekte "Üst %20" diliminde olup şirketi ihya edecek 7.154 müşterinin 3.891'i (yani %54.4'ü) algoritmalar tarafından fark edilememiştir. Modelin başarılı tespit gücü (Power of the model) sadece %45.6'da kalmıştır.</w:t>
      </w:r>
    </w:p>
    <w:p w14:paraId="62C1852C" w14:textId="77777777" w:rsidR="00884682" w:rsidRDefault="00000000">
      <w:pPr>
        <w:pStyle w:val="Balk2"/>
      </w:pPr>
      <w:r>
        <w:t>TABLO 2: Tahmin Doğruluğu Ölçümleri (Tüm Şirketler)</w:t>
      </w:r>
    </w:p>
    <w:p w14:paraId="351EDB8D" w14:textId="77777777" w:rsidR="00884682" w:rsidRDefault="00000000">
      <w:r>
        <w:t>Makalenin ikinci büyük tablosu tüm veri setlerinin test (holdout) ve eğitim (estimation) hata paylarını gösterir.</w:t>
      </w:r>
    </w:p>
    <w:p w14:paraId="7BD97FA5" w14:textId="77777777" w:rsidR="00884682" w:rsidRPr="00574B8E" w:rsidRDefault="00000000">
      <w:pPr>
        <w:rPr>
          <w:sz w:val="22"/>
        </w:rPr>
      </w:pPr>
      <w:r w:rsidRPr="00574B8E">
        <w:rPr>
          <w:sz w:val="22"/>
        </w:rPr>
        <w:t>• Hizmet Şirketi (1 Yıllık Gelecek): Yanlış Negatif %24.66 | Yanlış Pozitif %30.63 | R²=0.4850</w:t>
      </w:r>
    </w:p>
    <w:p w14:paraId="6202CB75" w14:textId="77777777" w:rsidR="00884682" w:rsidRPr="00574B8E" w:rsidRDefault="00000000">
      <w:pPr>
        <w:rPr>
          <w:sz w:val="22"/>
        </w:rPr>
      </w:pPr>
      <w:r w:rsidRPr="00574B8E">
        <w:rPr>
          <w:sz w:val="22"/>
        </w:rPr>
        <w:t>• Hizmet Şirketi (3 Yıllık Gelecek): Yanlış Negatif %13.66 | Yanlış Pozitif %54.48 | R²=0.3374</w:t>
      </w:r>
    </w:p>
    <w:p w14:paraId="204444B6" w14:textId="77777777" w:rsidR="00884682" w:rsidRPr="00574B8E" w:rsidRDefault="00000000">
      <w:pPr>
        <w:rPr>
          <w:sz w:val="22"/>
        </w:rPr>
      </w:pPr>
      <w:r w:rsidRPr="00574B8E">
        <w:rPr>
          <w:sz w:val="22"/>
        </w:rPr>
        <w:t>• Kâr Amacı Gütmeyen (2 Yıllık): Yanlış Negatif %14.43 | Yanlış Pozitif %57.74 | R²=0.1332</w:t>
      </w:r>
    </w:p>
    <w:p w14:paraId="760CC199" w14:textId="77777777" w:rsidR="00884682" w:rsidRPr="00574B8E" w:rsidRDefault="00000000">
      <w:pPr>
        <w:rPr>
          <w:sz w:val="22"/>
        </w:rPr>
      </w:pPr>
      <w:r w:rsidRPr="00574B8E">
        <w:rPr>
          <w:sz w:val="22"/>
        </w:rPr>
        <w:t>• B2B Şirketi (1 Yıllık Gelecek): Yanlış Negatif %13.45 | Yanlış Pozitif %53.79 | R²=0.2868</w:t>
      </w:r>
    </w:p>
    <w:p w14:paraId="626BEF5C" w14:textId="77777777" w:rsidR="00884682" w:rsidRPr="00574B8E" w:rsidRDefault="00000000">
      <w:pPr>
        <w:rPr>
          <w:sz w:val="22"/>
        </w:rPr>
      </w:pPr>
      <w:r w:rsidRPr="00574B8E">
        <w:rPr>
          <w:sz w:val="22"/>
        </w:rPr>
        <w:t>• B2B Şirketi (5 Yıllık Gelecek): Yanlış Negatif %12.68 | Yanlış Pozitif %50.73 | R²=0.3442</w:t>
      </w:r>
    </w:p>
    <w:p w14:paraId="61CA8219" w14:textId="77777777" w:rsidR="00884682" w:rsidRPr="00574B8E" w:rsidRDefault="00000000">
      <w:pPr>
        <w:rPr>
          <w:sz w:val="22"/>
        </w:rPr>
      </w:pPr>
      <w:r w:rsidRPr="00574B8E">
        <w:rPr>
          <w:sz w:val="22"/>
        </w:rPr>
        <w:t>• Katalog Şirketi (1 Yıllık Gelecek): Yanlış Negatif %13.94 | Yanlış Pozitif %55.74 | R²=0.1983</w:t>
      </w:r>
    </w:p>
    <w:p w14:paraId="30EDE594" w14:textId="77777777" w:rsidR="00884682" w:rsidRPr="00574B8E" w:rsidRDefault="00000000">
      <w:pPr>
        <w:rPr>
          <w:sz w:val="22"/>
        </w:rPr>
      </w:pPr>
      <w:r w:rsidRPr="00574B8E">
        <w:rPr>
          <w:sz w:val="22"/>
        </w:rPr>
        <w:t>• Katalog Şirketi (6 Yıllık Gelecek): Yanlış Negatif %13.66 | Yanlış Pozitif %54.65 | R²=0.2152</w:t>
      </w:r>
    </w:p>
    <w:p w14:paraId="318D3935" w14:textId="77777777" w:rsidR="00884682" w:rsidRDefault="00000000">
      <w:r>
        <w:lastRenderedPageBreak/>
        <w:t>Analiz: Tablolar tutarlı bir şekilde göstermektedir ki, şirketler geleceğe dair tahmin süresini uzattıkça (örneğin 1 yıldan 6 yıla) R² değerleri hızla erimektedir. En temiz veri olan hizmet sektöründe bile %48.5 olan R² değeri 3. yılda %33'lere düşmektedir. Katalog şirketinde R² değeri %20'lerde gezinmektedir, yani varyansın ancak beşte biri açıklanabilmektedir.</w:t>
      </w:r>
    </w:p>
    <w:p w14:paraId="11D862F3" w14:textId="77777777" w:rsidR="00884682" w:rsidRDefault="00000000">
      <w:pPr>
        <w:pStyle w:val="Balk2"/>
      </w:pPr>
      <w:r>
        <w:t>TABLO 3 ve TABLO 4: İleri Seviye Matematiksel Dönüşümler (Sensitivity)</w:t>
      </w:r>
    </w:p>
    <w:p w14:paraId="3558BCB3" w14:textId="77777777" w:rsidR="00884682" w:rsidRDefault="00000000">
      <w:r>
        <w:t>Araştırmacılar, sorunun matematiksel modelin zayıflığından kaynaklanıp kaynaklanmadığını test etmek için B2B verisi üzerinde Tablo 3'te Box-Cox dönüşümlerini (Karekök, Küpkök, 4. Kök, Logaritma) tek tek OLS ve IRLS algoritmalarıyla denemişlerdir.</w:t>
      </w:r>
    </w:p>
    <w:p w14:paraId="284BF040" w14:textId="77777777" w:rsidR="00884682" w:rsidRDefault="00000000">
      <w:r>
        <w:t>Sonuç şaşırtıcıdır: Hiçbir dönüşüm yapılmadığında %13.27 olan Yanlış Negatif (1 Yıl Holdout), Karekök uygulandığında %13.01, Logaritma ile IRLS kullanıldığında ise %13.77 çıkmıştır. Yani hangi ileri seviye istatistik veya makine öğrenmesi algoritması kullanılırsa kullanılsın, hatalar matematiksel manipülasyonlarla ortadan kaldırılamamıştır.</w:t>
      </w:r>
    </w:p>
    <w:p w14:paraId="044C9D32" w14:textId="77777777" w:rsidR="00884682" w:rsidRDefault="00000000">
      <w:r>
        <w:t>Tablo 4'te kullanılan 6 kritik B2B değişkeni (Sipariş Sayısı, Son Yıldaki Dolarlar, Toplam Dolarlar Logaritması, 2. ve 3. Ürün Grubu Satışları) tek tek incelenmiş; T-değerleri (8.04 ile 66.66 arası) istatistiksel olarak aşırı anlamlı çıkmasına rağmen genel modelin tahmin felaketini engelleyememiştir.</w:t>
      </w:r>
    </w:p>
    <w:p w14:paraId="0A3747C2" w14:textId="77777777" w:rsidR="00884682" w:rsidRDefault="00000000">
      <w:pPr>
        <w:pStyle w:val="Balk1"/>
      </w:pPr>
      <w:r>
        <w:t>6. BİLİME YENİ KAZANDIRILAN KURALLAR: 20-55 VE 80-15</w:t>
      </w:r>
    </w:p>
    <w:p w14:paraId="05C8809F" w14:textId="77777777" w:rsidR="00884682" w:rsidRDefault="00000000">
      <w:r>
        <w:t>Sonuçların tüm sektörlerde (Katalog, B2B, Hizmet, Sivil Toplum) paralellik göstermesi üzerine Malthouse ve Blattberg literatüre iki yeni ampirik kural kazandırmıştır. Bu kurallar 131 şirketin veritabanı olan Experian Z-24 kutu grafikleri (Boxplots) ile kanıtlanmıştır (Medyan Tip 1 hata %16.1, Tip 2 hata %62).</w:t>
      </w:r>
    </w:p>
    <w:p w14:paraId="77FB0E81" w14:textId="77777777" w:rsidR="00884682" w:rsidRDefault="00000000">
      <w:pPr>
        <w:pStyle w:val="Balk2"/>
      </w:pPr>
      <w:r>
        <w:t>6.1. 20–55 Kuralı (Kayıp VIP'ler Kuralı)</w:t>
      </w:r>
    </w:p>
    <w:p w14:paraId="75685449" w14:textId="77777777" w:rsidR="00884682" w:rsidRDefault="00000000">
      <w:r>
        <w:t>Tanım: Gelecekte gerçek anlamda "en iyi %20" müşteri diliminizde olacak kitlenin (şirketi ayakta tutacak olanlar) YAKLAŞIK %55'İ modeliniz tarafından yanlış sınıflandırılacak ve "normal" müşteri sayılarak hak ettikleri özel muameleden mahrum bırakılacaktır.</w:t>
      </w:r>
    </w:p>
    <w:p w14:paraId="3E76643D" w14:textId="77777777" w:rsidR="00884682" w:rsidRDefault="00000000">
      <w:pPr>
        <w:pStyle w:val="Balk2"/>
      </w:pPr>
      <w:r>
        <w:t>6.2. 80–15 Kuralı (Bedavacı Normal Müşteriler Kuralı)</w:t>
      </w:r>
    </w:p>
    <w:p w14:paraId="5EF04B67" w14:textId="77777777" w:rsidR="00884682" w:rsidRDefault="00000000">
      <w:r>
        <w:t>Tanım: Gelecekte gerçek anlamda "normal %80" (sıradan) müşteri diliminizde yer alacak kitlenin YAKLAŞIK %15'İ modeliniz tarafından yanlışlıkla "en iyi müşteri" (VIP) olarak etiketlenecek ve şirketin kıt kaynaklarını, promosyonlarını ve ayrıcalıklarını boş yere tüketecektir.</w:t>
      </w:r>
    </w:p>
    <w:p w14:paraId="4389A70D" w14:textId="77777777" w:rsidR="00884682" w:rsidRDefault="00000000">
      <w:pPr>
        <w:pStyle w:val="Balk1"/>
      </w:pPr>
      <w:r>
        <w:lastRenderedPageBreak/>
        <w:t>7. KÂR DENKLEMİ VE MATEMATİKSEL İSPATI</w:t>
      </w:r>
    </w:p>
    <w:p w14:paraId="12DA8880" w14:textId="77777777" w:rsidR="00884682" w:rsidRDefault="00000000">
      <w:r>
        <w:t>Eğer bu tahminler bu kadar hatalıysa, firmalar neden ısrarla ayrıcalık vermeye devam etmektedir? Araştırmacılar bu durumu bir kâr (profit) fonksiyonuna dökmüşlerdir:</w:t>
      </w:r>
    </w:p>
    <w:p w14:paraId="64B343C1" w14:textId="77777777" w:rsidR="00884682" w:rsidRDefault="00000000">
      <w:r>
        <w:t>P = 0.2 * 0.45(PB + IB - C) + 0.2 * 0.55(PB - CII) + 0.8 * 0.85*PN + 0.8 * 0.15(PN + IN - C)</w:t>
      </w:r>
    </w:p>
    <w:p w14:paraId="4C3B383A" w14:textId="77777777" w:rsidR="00884682" w:rsidRDefault="00000000">
      <w:r>
        <w:t>Denklemin Bileşenleri:</w:t>
      </w:r>
    </w:p>
    <w:p w14:paraId="16E8DF3E" w14:textId="77777777" w:rsidR="00884682" w:rsidRDefault="00000000">
      <w:r>
        <w:t>• PB: Gerçek "en iyi" müşteriden (Best Customer), hiçbir ayrıcalık verilmeden de elde edilecek olan Taban Kâr (Baseline Profit).</w:t>
      </w:r>
    </w:p>
    <w:p w14:paraId="7EC8FCA6" w14:textId="77777777" w:rsidR="00884682" w:rsidRDefault="00000000">
      <w:r>
        <w:t>• PN: Gerçek "sıradan" müşteriden (Normal Customer) elde edilecek Taban Kâr.</w:t>
      </w:r>
    </w:p>
    <w:p w14:paraId="7F91762B" w14:textId="77777777" w:rsidR="00884682" w:rsidRDefault="00000000">
      <w:r>
        <w:t>• C: Firmaya her bir ayrıcalığın (Perk) yarattığı Maliyet.</w:t>
      </w:r>
    </w:p>
    <w:p w14:paraId="0A6F5838" w14:textId="77777777" w:rsidR="00884682" w:rsidRDefault="00000000">
      <w:r>
        <w:t>• IB: "En iyi" müşteriye ayrıcalık verdiğinizde onun sadakatinin artmasıyla oluşan Artımlı Ekstra Kâr.</w:t>
      </w:r>
    </w:p>
    <w:p w14:paraId="6C9814EA" w14:textId="77777777" w:rsidR="00884682" w:rsidRDefault="00000000">
      <w:r>
        <w:t>• IN: "Sıradan" müşteriye ayrıcalık verdiğinizde ondan kazandığınız Artımlı Ekstra Kâr.</w:t>
      </w:r>
    </w:p>
    <w:p w14:paraId="2167342B" w14:textId="77777777" w:rsidR="00884682" w:rsidRDefault="00000000">
      <w:r>
        <w:t>• CII: En büyük risktir. En iyi müşteriye Tip II (Yanlış Negatif) hatası yapıp ona hak ettiği ayrıcalığı vermediğinizde, onun küsüp rakibe gitmesinden doğacak olan Gelir Kaybı / Hata Maliyeti.</w:t>
      </w:r>
    </w:p>
    <w:p w14:paraId="0F49237A" w14:textId="77777777" w:rsidR="00884682" w:rsidRDefault="00000000">
      <w:r>
        <w:t>Denklem sadeleştirildiğinde, bir firmanın VIP programı uygulamasının mantıklı olabilmesi için şu eşitsizliğin kesinlikle sağlanması gerektiği ortaya çıkmıştır:</w:t>
      </w:r>
    </w:p>
    <w:p w14:paraId="03E2A83C" w14:textId="77777777" w:rsidR="00884682" w:rsidRDefault="00000000">
      <w:r>
        <w:t>0.09 IB + 0.12 IN &gt; 0.21 C + 0.11 CII</w:t>
      </w:r>
    </w:p>
    <w:p w14:paraId="295CC005" w14:textId="77777777" w:rsidR="00884682" w:rsidRDefault="00000000">
      <w:r>
        <w:t>Yönetimsel Yorum: Ayrıcalıkların yarattığı toplam ekstra getiri (0.09 IB + 0.12 IN), yanlış müşterilere harcanan maliyetler (0.21 C) ve küstürülen asıl VIP'lerin yaratacağı zarar (0.11 CII) toplamından BÜYÜK olmalıdır. Şirketler genellikle CII (küstürme maliyetini) hiç hesaba katmazlar.</w:t>
      </w:r>
    </w:p>
    <w:p w14:paraId="1F7D874A" w14:textId="77777777" w:rsidR="00574B8E" w:rsidRDefault="00574B8E">
      <w:pPr>
        <w:pStyle w:val="Balk1"/>
      </w:pPr>
    </w:p>
    <w:p w14:paraId="6C4FDDEE" w14:textId="77777777" w:rsidR="00574B8E" w:rsidRDefault="00574B8E">
      <w:pPr>
        <w:pStyle w:val="Balk1"/>
        <w:rPr>
          <w:sz w:val="16"/>
          <w:szCs w:val="16"/>
        </w:rPr>
      </w:pPr>
    </w:p>
    <w:p w14:paraId="41230DFE" w14:textId="77777777" w:rsidR="00574B8E" w:rsidRPr="00574B8E" w:rsidRDefault="00574B8E" w:rsidP="00574B8E"/>
    <w:p w14:paraId="663F3876" w14:textId="2CB30EE9" w:rsidR="00884682" w:rsidRDefault="00000000">
      <w:pPr>
        <w:pStyle w:val="Balk1"/>
      </w:pPr>
      <w:r>
        <w:lastRenderedPageBreak/>
        <w:t>8. YÖNETİMSEL STRATEJİ VE ÇIKARIMLAR</w:t>
      </w:r>
    </w:p>
    <w:p w14:paraId="2265ECFF" w14:textId="77777777" w:rsidR="00884682" w:rsidRDefault="00000000">
      <w:r>
        <w:t>1. Kaynak İsrafı ve Kelebek Etkisi:</w:t>
      </w:r>
    </w:p>
    <w:p w14:paraId="3B41BC38" w14:textId="77777777" w:rsidR="00884682" w:rsidRDefault="00000000">
      <w:r>
        <w:t>Şirketler, 80-15 kuralı sebebiyle çok kısıtlı olan "Müşteri Memnuniyeti/CRM" bütçelerini yanlış müşterilere harcamaktadır. Geçmişte çok harcama yapmış olması, gelecekte kârlı olacağı anlamına gelmez.</w:t>
      </w:r>
    </w:p>
    <w:p w14:paraId="63DE720E" w14:textId="77777777" w:rsidR="00884682" w:rsidRDefault="00000000">
      <w:r>
        <w:t>2. Ayrıcalık İptalinin Yıkıcı Etkisi (Revoking a perk):</w:t>
      </w:r>
    </w:p>
    <w:p w14:paraId="67CA6863" w14:textId="77777777" w:rsidR="00884682" w:rsidRDefault="00000000">
      <w:r>
        <w:t>Reinartz ve Kumar (2002) "Kelebeklerin uçmasına izin verin" der. Şirket bir müşterinin artık ayrıcalığı hak etmediğine karar verip (örneğin Elite statüsünü veya Gold Card'ı iptal edip) faydalarını durdurduğunda, bu müşteri sadece normal müşteriye dönüşmekle kalmaz, markaya düşman olup hızla rakibe geçer. Havayolu endüstrisinde statüsü elinden alınan yolcuların o havayolunu tamamen boykot ettiği anekdotlar mevcuttur.</w:t>
      </w:r>
    </w:p>
    <w:p w14:paraId="5B138DFB" w14:textId="77777777" w:rsidR="00884682" w:rsidRDefault="00000000">
      <w:pPr>
        <w:pStyle w:val="Balk1"/>
      </w:pPr>
      <w:r>
        <w:t>9. TARTIŞMA: TAHMİN NEDEN BU KADAR ZORDUR?</w:t>
      </w:r>
    </w:p>
    <w:p w14:paraId="183AC53B" w14:textId="77777777" w:rsidR="00884682" w:rsidRDefault="00000000">
      <w:r>
        <w:t>Makale ünlü fizikçi Niels Bohr'un sözüyle noktalanır: "Tahmin yapmak çok zordur, özellikle de gelecekle ilgiliyse." Peki müşterinin geleceği makine öğrenmesiyle bile neden öngörülemez? Literatür 3 temel psikolojik/davranışsal sebep sunar:</w:t>
      </w:r>
    </w:p>
    <w:p w14:paraId="21AD2341" w14:textId="77777777" w:rsidR="00884682" w:rsidRDefault="00000000">
      <w:r>
        <w:t>1. Fırsatçılık (Opportunism - Diller 2000): Müşteriler fırsatçıdır. Sadakat kartı veya ayrıcalık tanınsa bile, başka bir marka daha iyi bir esneklik ve fiyat/değer sunduğu an oraya geçmekten çekinmezler.</w:t>
      </w:r>
    </w:p>
    <w:p w14:paraId="0A2E3EA5" w14:textId="77777777" w:rsidR="00884682" w:rsidRDefault="00000000">
      <w:r>
        <w:t>2. Çeşitlilik Arayışı (Variety Seeking): İnsan doğası gereği insanlar aynı havayoluyla uçmaktan, aynı otelde kalmaktan veya aynı markayı giymekten sıkılırlar. Sadakat programları insanları sıkıcı bir rutine hapseder.</w:t>
      </w:r>
    </w:p>
    <w:p w14:paraId="2B26051A" w14:textId="77777777" w:rsidR="00884682" w:rsidRDefault="00000000">
      <w:r>
        <w:t>3. Otonomi (Autonomy): Müşteriler şirketlerin veritabanlarında birer "esir" olmak istemezler. Bağımsız karar verme özgürlüklerini korumak için bilerek sadakat zincirini kırarlar.</w:t>
      </w:r>
    </w:p>
    <w:p w14:paraId="6C9E8305" w14:textId="77777777" w:rsidR="00884682" w:rsidRDefault="00000000">
      <w:r>
        <w:t>Sonuç olarak Rust ve Oliver'ın (2002) uyardığı "Vur ve Kaç Mutluluğu" (Hit-and-run delight) tuzağına düşmemek için, CRM yöneticileri CLV modellerinin büyük hata payları olduğunu her zaman kabul etmeli ve egalitarian (eşitlikçi) stratejileri bir kenara atmamalıdır.</w:t>
      </w:r>
    </w:p>
    <w:sectPr w:rsidR="00884682" w:rsidSect="00574B8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765617225">
    <w:abstractNumId w:val="8"/>
  </w:num>
  <w:num w:numId="2" w16cid:durableId="961229064">
    <w:abstractNumId w:val="6"/>
  </w:num>
  <w:num w:numId="3" w16cid:durableId="1384404249">
    <w:abstractNumId w:val="5"/>
  </w:num>
  <w:num w:numId="4" w16cid:durableId="1556239241">
    <w:abstractNumId w:val="4"/>
  </w:num>
  <w:num w:numId="5" w16cid:durableId="519976960">
    <w:abstractNumId w:val="7"/>
  </w:num>
  <w:num w:numId="6" w16cid:durableId="650721231">
    <w:abstractNumId w:val="3"/>
  </w:num>
  <w:num w:numId="7" w16cid:durableId="1912736477">
    <w:abstractNumId w:val="2"/>
  </w:num>
  <w:num w:numId="8" w16cid:durableId="349189374">
    <w:abstractNumId w:val="1"/>
  </w:num>
  <w:num w:numId="9" w16cid:durableId="569655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4B8E"/>
    <w:rsid w:val="00751A62"/>
    <w:rsid w:val="00884682"/>
    <w:rsid w:val="00AA1D8D"/>
    <w:rsid w:val="00B47730"/>
    <w:rsid w:val="00B755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6FADF"/>
  <w14:defaultImageDpi w14:val="300"/>
  <w15:docId w15:val="{CB3F46BA-C578-4F8C-9EB6-89FC90D69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jc w:val="both"/>
    </w:pPr>
    <w:rPr>
      <w:rFonts w:ascii="Calibri" w:hAnsi="Calibri"/>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8"/>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2617</Words>
  <Characters>14920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3</cp:revision>
  <dcterms:created xsi:type="dcterms:W3CDTF">2013-12-23T23:15:00Z</dcterms:created>
  <dcterms:modified xsi:type="dcterms:W3CDTF">2026-06-30T09:03:00Z</dcterms:modified>
  <cp:category/>
</cp:coreProperties>
</file>