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8B11" w14:textId="77777777" w:rsidR="00E32E8E" w:rsidRDefault="00E32E8E">
      <w:pPr>
        <w:spacing w:before="360" w:after="120"/>
        <w:rPr>
          <w:rFonts w:ascii="Calibri" w:hAnsi="Calibri"/>
          <w:b/>
          <w:color w:val="2E74B5"/>
          <w:sz w:val="36"/>
        </w:rPr>
      </w:pPr>
      <w:r w:rsidRPr="00E32E8E">
        <w:rPr>
          <w:rFonts w:ascii="Calibri" w:hAnsi="Calibri"/>
          <w:b/>
          <w:color w:val="2E74B5"/>
          <w:sz w:val="36"/>
        </w:rPr>
        <w:t>Customer attrition analysis for financial services using proportional hazard models</w:t>
      </w:r>
    </w:p>
    <w:p w14:paraId="18A4704B" w14:textId="5CF80757" w:rsidR="00A27755" w:rsidRDefault="00000000">
      <w:pPr>
        <w:spacing w:before="360" w:after="120"/>
      </w:pPr>
      <w:r>
        <w:rPr>
          <w:rFonts w:ascii="Calibri" w:hAnsi="Calibri"/>
          <w:b/>
          <w:color w:val="1F4E79"/>
          <w:sz w:val="28"/>
        </w:rPr>
        <w:t xml:space="preserve">1. </w:t>
      </w:r>
      <w:proofErr w:type="spellStart"/>
      <w:r>
        <w:rPr>
          <w:rFonts w:ascii="Calibri" w:hAnsi="Calibri"/>
          <w:b/>
          <w:color w:val="1F4E79"/>
          <w:sz w:val="28"/>
        </w:rPr>
        <w:t>Giriş</w:t>
      </w:r>
      <w:proofErr w:type="spellEnd"/>
      <w:r>
        <w:rPr>
          <w:rFonts w:ascii="Calibri" w:hAnsi="Calibri"/>
          <w:b/>
          <w:color w:val="1F4E79"/>
          <w:sz w:val="28"/>
        </w:rPr>
        <w:t xml:space="preserve">: </w:t>
      </w:r>
      <w:proofErr w:type="spellStart"/>
      <w:r>
        <w:rPr>
          <w:rFonts w:ascii="Calibri" w:hAnsi="Calibri"/>
          <w:b/>
          <w:color w:val="1F4E79"/>
          <w:sz w:val="28"/>
        </w:rPr>
        <w:t>Müşteri</w:t>
      </w:r>
      <w:proofErr w:type="spellEnd"/>
      <w:r>
        <w:rPr>
          <w:rFonts w:ascii="Calibri" w:hAnsi="Calibri"/>
          <w:b/>
          <w:color w:val="1F4E79"/>
          <w:sz w:val="28"/>
        </w:rPr>
        <w:t xml:space="preserve"> </w:t>
      </w:r>
      <w:proofErr w:type="spellStart"/>
      <w:r>
        <w:rPr>
          <w:rFonts w:ascii="Calibri" w:hAnsi="Calibri"/>
          <w:b/>
          <w:color w:val="1F4E79"/>
          <w:sz w:val="28"/>
        </w:rPr>
        <w:t>Ölümünün</w:t>
      </w:r>
      <w:proofErr w:type="spellEnd"/>
      <w:r>
        <w:rPr>
          <w:rFonts w:ascii="Calibri" w:hAnsi="Calibri"/>
          <w:b/>
          <w:color w:val="1F4E79"/>
          <w:sz w:val="28"/>
        </w:rPr>
        <w:t xml:space="preserve"> </w:t>
      </w:r>
      <w:proofErr w:type="spellStart"/>
      <w:r>
        <w:rPr>
          <w:rFonts w:ascii="Calibri" w:hAnsi="Calibri"/>
          <w:b/>
          <w:color w:val="1F4E79"/>
          <w:sz w:val="28"/>
        </w:rPr>
        <w:t>Felsefesi</w:t>
      </w:r>
      <w:proofErr w:type="spellEnd"/>
      <w:r>
        <w:rPr>
          <w:rFonts w:ascii="Calibri" w:hAnsi="Calibri"/>
          <w:b/>
          <w:color w:val="1F4E79"/>
          <w:sz w:val="28"/>
        </w:rPr>
        <w:t xml:space="preserve"> ve CRM'in Ekonomik Çekirdeği</w:t>
      </w:r>
    </w:p>
    <w:p w14:paraId="7774A8BC" w14:textId="77777777" w:rsidR="00A27755" w:rsidRDefault="00000000">
      <w:pPr>
        <w:jc w:val="both"/>
      </w:pPr>
      <w:r>
        <w:t>Modern işletme çağında pazar doygunluğunun ve hiper-rekabetin zirveye ulaşması, kurumları temel bir varoluşsal gerçeğe yöneltmiştir: Şirketlerin sahip olduğu en değerli varlık, yeni kazanılacak meçhul kitleler değil, halihazırda sistemde bulunan mevcut müşteri tabanıdır. Müşteri İlişkileri Yönetimi (CRM), bu aydınlanmanın sonucunda doğmuştur. Finansal hizmetler sektöründe (bankacılık ve sigortacılık), deregülasyonlar ve kıyasıya Avrupa entegrasyonu, müşterilerin geçiş maliyetlerini (switching costs) dramatik şekilde düşürmüştür. Müşteri kaybı (customer attrition veya churn), artık sadece satışların azalması anlamına gelmez; aynı zamanda yeni müşteri kazanmanın getirdiği o devasa 5-6 katlık ekstra maliyetin yüklenilmesi, ağızdan ağıza (word-of-mouth) yayılan organik büyüme motorunun durması ve veri tabanında biriken paha biçilemez müşteri istihbaratının sonsuza dek silinmesi demektir.</w:t>
      </w:r>
    </w:p>
    <w:p w14:paraId="517A3D0A" w14:textId="77777777" w:rsidR="00A27755" w:rsidRDefault="00000000">
      <w:pPr>
        <w:jc w:val="both"/>
      </w:pPr>
      <w:r>
        <w:t>Makale, klasik müşteri memnuniyeti anketlerinin (survey data) içerdiği devasa "seçim yanlılığına" (selection bias) karşı felsefi bir duruş sergiler. Çoğu şirket müşteri sadakatini anketlerle ölçmeye çalışır, ancak insanlar her zaman söylediklerini yapmazlar. Eylemler, sözlerden çok daha gürültülü konuşur. Bu nedenle Dirk Van den Poel ve Bart Larivière, anketleri bir kenara bırakıp Avrupa'lı dev bir finans kuruluşunun Veri Ambarı'nın (Data Warehouse) derinliklerine inerek, müşterilerin tamamen tarafsız, gerçek gözlemsel verileri (observational data) üzerinden "eyleme dökülmüş" davranışları analiz etmiştir.</w:t>
      </w:r>
    </w:p>
    <w:p w14:paraId="59849581" w14:textId="77777777" w:rsidR="00A27755" w:rsidRDefault="00000000">
      <w:pPr>
        <w:jc w:val="both"/>
      </w:pPr>
      <w:r>
        <w:t>Bu analiz, deterministik ve statik müşteri tutma (retention) yaklaşımlarına karşı açılmış matematiksel bir savaştır. Klasik yaklaşımlar (örneğin sıradan Lojistik Regresyon modelleri), zamanı dondurulmuş bir fotoğraf karesi olarak ele alır ve müşterilerin davranışlarını statik bir noktada ölçerek "terk edecek mi, etmeyecek mi?" (0 veya 1) gibi sığ bir ikili sınıflandırmaya indirger. Ancak insan hayatı ve dolayısıyla müşteri davranışı, zamanın acımasız ve sürekli akışı içinde şekillenir. Bir müşterinin maaşının artması, makroekonomik krizler veya bankanın bir başka bankayla birleşmesi (merger) gibi olaylar "zamanla değişen" (time-varying) dinamiklerdir. Bu makale, tıp biliminde kanser hastalarının yaşam sürelerini analiz etmek için doğmuş olan Yaşam Çözümlemesi</w:t>
      </w:r>
      <w:r>
        <w:rPr>
          <w:b/>
        </w:rPr>
        <w:t xml:space="preserve"> (</w:t>
      </w:r>
      <w:r>
        <w:t>Survival Analysis</w:t>
      </w:r>
      <w:r>
        <w:rPr>
          <w:b/>
        </w:rPr>
        <w:t>)</w:t>
      </w:r>
      <w:r>
        <w:t xml:space="preserve"> ve Cox Orantısal Tehlike</w:t>
      </w:r>
      <w:r>
        <w:rPr>
          <w:b/>
        </w:rPr>
        <w:t xml:space="preserve"> (Proportional Hazard)</w:t>
      </w:r>
      <w:r>
        <w:t xml:space="preserve"> modellerini pazarlama biliminin kalbine yerleştirerek, müşteri ölümünün (churn) anlık riskini ve zamanlamasını stokastik bir düzlemde modeller.</w:t>
      </w:r>
    </w:p>
    <w:p w14:paraId="7F57F7CD" w14:textId="77777777" w:rsidR="00E32E8E" w:rsidRDefault="00E32E8E">
      <w:pPr>
        <w:spacing w:before="360" w:after="120"/>
        <w:rPr>
          <w:rFonts w:ascii="Calibri" w:hAnsi="Calibri"/>
          <w:b/>
          <w:color w:val="1F4E79"/>
          <w:sz w:val="28"/>
        </w:rPr>
      </w:pPr>
    </w:p>
    <w:p w14:paraId="4E684CC8" w14:textId="73BB9BE1" w:rsidR="00A27755" w:rsidRDefault="00000000">
      <w:pPr>
        <w:spacing w:before="360" w:after="120"/>
      </w:pPr>
      <w:r>
        <w:rPr>
          <w:rFonts w:ascii="Calibri" w:hAnsi="Calibri"/>
          <w:b/>
          <w:color w:val="1F4E79"/>
          <w:sz w:val="28"/>
        </w:rPr>
        <w:lastRenderedPageBreak/>
        <w:t>2. **Yaşam Çözümlemesi** (**Survival Analysis**): Stokastik Zamanın Matematiği</w:t>
      </w:r>
    </w:p>
    <w:p w14:paraId="1256631C" w14:textId="77777777" w:rsidR="00A27755" w:rsidRDefault="00000000">
      <w:pPr>
        <w:jc w:val="both"/>
      </w:pPr>
      <w:r>
        <w:rPr>
          <w:b/>
        </w:rPr>
        <w:t>Yaşam Çözümlemesi</w:t>
      </w:r>
      <w:r>
        <w:t xml:space="preserve"> (</w:t>
      </w:r>
      <w:r>
        <w:rPr>
          <w:b/>
        </w:rPr>
        <w:t>Survival Analysis</w:t>
      </w:r>
      <w:r>
        <w:t>), olayların (events) meydana gelme zamanını ve bu zamanın hangi dışsal faktörlere bağlı olduğunu modelleyen probabilistik (olasılıksal) bir istatistik dalıdır. Pazarlama bağlamında "olay", müşterinin bankadaki tüm hesaplarını kapatarak kurumu kalıcı olarak terk etmesidir.</w:t>
      </w:r>
    </w:p>
    <w:p w14:paraId="1724E378" w14:textId="77777777" w:rsidR="00A27755" w:rsidRDefault="00000000">
      <w:pPr>
        <w:jc w:val="both"/>
      </w:pPr>
      <w:r>
        <w:t>Bu modellemede zaman (T), sıradan bir sayaç değil, üzerinde bir olasılık dağılımı tanımlanmış sürekli bir rastlantısal değişkendir. Klasik istatistikteki tüm deterministik kurallar burada yıkılır ve yerine şu dört temel probabilistik sütun inşa edilir:</w:t>
      </w:r>
    </w:p>
    <w:p w14:paraId="7D373234" w14:textId="77777777" w:rsidR="00A27755" w:rsidRDefault="00000000">
      <w:pPr>
        <w:jc w:val="both"/>
      </w:pPr>
      <w:r>
        <w:t>Birincisi, zamanın Olasılık Yoğunluk Fonksiyonu (Probability Density Function - p.d.f.), yani f(t)'dir. Bu fonksiyon, müşterinin tam olarak "t" anında (ne bir saniye önce, ne bir saniye sonra) sistemi terk etme ihtimalini ifade eder. Ancak sürekli zaman matematiğinde tek bir "nokta"nın olasılığı sıfırdır, bu yüzden entegral alınması gerekir.</w:t>
      </w:r>
    </w:p>
    <w:p w14:paraId="498DFD43" w14:textId="77777777" w:rsidR="00A27755" w:rsidRDefault="00000000">
      <w:pPr>
        <w:jc w:val="both"/>
      </w:pPr>
      <w:r>
        <w:t>İkincisi, Birikimli Dağılım Fonksiyonu (Cumulative Distribution Function - c.d.f.), yani F(t)'dir. (Denklem 1), müşterinin 't' anına kadar kurumu terk etmiş olma olasılığını gösterir.</w:t>
      </w:r>
    </w:p>
    <w:p w14:paraId="6739BD4B" w14:textId="77777777" w:rsidR="00A27755" w:rsidRDefault="00000000">
      <w:pPr>
        <w:spacing w:before="240" w:after="240"/>
        <w:ind w:left="720" w:right="720"/>
        <w:jc w:val="center"/>
      </w:pPr>
      <w:r>
        <w:rPr>
          <w:i/>
          <w:color w:val="333333"/>
        </w:rPr>
        <w:t>F(t) = Pr{T \le t}</w:t>
      </w:r>
    </w:p>
    <w:p w14:paraId="2D1FCACD" w14:textId="77777777" w:rsidR="00A27755" w:rsidRDefault="00000000">
      <w:pPr>
        <w:jc w:val="both"/>
      </w:pPr>
      <w:r>
        <w:t>Üçüncüsü ve felsefi olarak en kritiği olan Sağkalım Fonksiyonu</w:t>
      </w:r>
      <w:r>
        <w:rPr>
          <w:b/>
        </w:rPr>
        <w:t xml:space="preserve"> (Survivor Function)</w:t>
      </w:r>
      <w:r>
        <w:t>, yani S(t)'dir (Denklem 2). Bu fonksiyon, müşterinin 't' anından daha uzun süre (T &gt; t) hayatta kalma (müşteri olarak devam etme) ihtimalini verir.</w:t>
      </w:r>
    </w:p>
    <w:p w14:paraId="37B3EB2C" w14:textId="77777777" w:rsidR="00A27755" w:rsidRDefault="00000000">
      <w:pPr>
        <w:spacing w:before="240" w:after="240"/>
        <w:ind w:left="720" w:right="720"/>
        <w:jc w:val="center"/>
      </w:pPr>
      <w:r>
        <w:rPr>
          <w:i/>
          <w:color w:val="333333"/>
        </w:rPr>
        <w:t>S(t) = Pr{T &gt; t} = 1 - F(t)</w:t>
      </w:r>
    </w:p>
    <w:p w14:paraId="0C51C284" w14:textId="77777777" w:rsidR="00A27755" w:rsidRDefault="00000000">
      <w:pPr>
        <w:jc w:val="both"/>
      </w:pPr>
      <w:r>
        <w:t>Türevi alındığında f(t) fonksiyonunu verir.</w:t>
      </w:r>
    </w:p>
    <w:p w14:paraId="379FF907" w14:textId="77777777" w:rsidR="00A27755" w:rsidRDefault="00000000">
      <w:pPr>
        <w:jc w:val="both"/>
      </w:pPr>
      <w:r>
        <w:t>Dördüncüsü ve modelin kalbi olan Tehlike Fonksiyonu</w:t>
      </w:r>
      <w:r>
        <w:rPr>
          <w:b/>
        </w:rPr>
        <w:t xml:space="preserve"> (Hazard Function)</w:t>
      </w:r>
      <w:r>
        <w:t>, h(t)'dir (Denklem 4). Tehlike fonksiyonu, müşterinin 't' anına kadar hayatta kaldığı bilindiği durumda (koşullu olasılık), tam o saniyede/anda (t ile t + \Delta t arasında) ölme (churn olma) riskinin anlık türevidir.</w:t>
      </w:r>
    </w:p>
    <w:p w14:paraId="0F21486E" w14:textId="77777777" w:rsidR="00A27755" w:rsidRDefault="00000000">
      <w:pPr>
        <w:spacing w:before="240" w:after="240"/>
        <w:ind w:left="720" w:right="720"/>
        <w:jc w:val="center"/>
      </w:pPr>
      <w:r>
        <w:rPr>
          <w:i/>
          <w:color w:val="333333"/>
        </w:rPr>
        <w:t>h(t) = \lim_{\Delta t \to 0} [ Pr{t \le T &lt; t + \Delta t | T \ge t} / \Delta t ]</w:t>
      </w:r>
    </w:p>
    <w:p w14:paraId="0AE450FF" w14:textId="77777777" w:rsidR="00A27755" w:rsidRDefault="00000000">
      <w:pPr>
        <w:jc w:val="both"/>
      </w:pPr>
      <w:r>
        <w:t>Sağkalım fonksiyonu (Survivor) kümülatif birikimi temsil ederken, Tehlike fonksiyonu (Hazard) hız göstergesindeki ibrenin anlık olarak gösterdiği hızı (risk ivmesini) temsil eder.</w:t>
      </w:r>
    </w:p>
    <w:p w14:paraId="2E543F21" w14:textId="77777777" w:rsidR="00E32E8E" w:rsidRDefault="00E32E8E">
      <w:pPr>
        <w:spacing w:before="360" w:after="120"/>
        <w:rPr>
          <w:rFonts w:ascii="Calibri" w:hAnsi="Calibri"/>
          <w:b/>
          <w:color w:val="1F4E79"/>
          <w:sz w:val="28"/>
        </w:rPr>
      </w:pPr>
    </w:p>
    <w:p w14:paraId="274899E1" w14:textId="77777777" w:rsidR="00E32E8E" w:rsidRDefault="00E32E8E">
      <w:pPr>
        <w:spacing w:before="360" w:after="120"/>
        <w:rPr>
          <w:rFonts w:ascii="Calibri" w:hAnsi="Calibri"/>
          <w:b/>
          <w:color w:val="1F4E79"/>
          <w:sz w:val="28"/>
        </w:rPr>
      </w:pPr>
    </w:p>
    <w:p w14:paraId="7404007A" w14:textId="7106A72F" w:rsidR="00A27755" w:rsidRDefault="00000000">
      <w:pPr>
        <w:spacing w:before="360" w:after="120"/>
      </w:pPr>
      <w:r>
        <w:rPr>
          <w:rFonts w:ascii="Calibri" w:hAnsi="Calibri"/>
          <w:b/>
          <w:color w:val="1F4E79"/>
          <w:sz w:val="28"/>
        </w:rPr>
        <w:lastRenderedPageBreak/>
        <w:t>3. **Cox Orantısal Tehlike** (Proportional Hazard) Modeli ve **Zamanla Değişen** Değişkenler</w:t>
      </w:r>
    </w:p>
    <w:p w14:paraId="58935137" w14:textId="77777777" w:rsidR="00A27755" w:rsidRDefault="00000000">
      <w:pPr>
        <w:jc w:val="both"/>
      </w:pPr>
      <w:r>
        <w:t>Sıradan yaşam çözümlemeleri sadece zamanı hesaba katar. Ancak banka yöneticileri için asıl soru şudur: Müşterinin riskini (Hazard) belirleyen faktörler (kovaryatlar) nelerdir?</w:t>
      </w:r>
    </w:p>
    <w:p w14:paraId="269F7F6D" w14:textId="77777777" w:rsidR="00A27755" w:rsidRDefault="00000000">
      <w:pPr>
        <w:jc w:val="both"/>
      </w:pPr>
      <w:r>
        <w:t xml:space="preserve">İşte burada Sir David Cox tarafından tıp dünyasına armağan edilen, istatistik biliminin en sağlam (robust) yapılarından biri olan </w:t>
      </w:r>
      <w:r>
        <w:rPr>
          <w:b/>
        </w:rPr>
        <w:t>Cox Proportional Hazard</w:t>
      </w:r>
      <w:r>
        <w:t xml:space="preserve"> modeli devreye girer. Bu model, tehlike fonksiyonunun iki bağımsız parçadan oluştuğunu varsayar: Birincisi, zamana bağlı temel tehlike (baseline hazard) fonksiyonu; ikincisi ise bireyin özelliklerine (kovaryatlarına) bağlı olan ve zamanla üstel olarak çarpılan risk çarpanı.</w:t>
      </w:r>
    </w:p>
    <w:p w14:paraId="4FE84746" w14:textId="77777777" w:rsidR="00A27755" w:rsidRDefault="00000000">
      <w:pPr>
        <w:jc w:val="both"/>
      </w:pPr>
      <w:r>
        <w:t>Modelin adındaki "Orantısal" (Proportional) kelimesi, temel bir varsayımdan gelir: Herhangi iki bireyin tehlike (hazard) oranları, zaman boyunca birbirine sabit bir orantıdadır. Ancak, makalenin literatüre yaptığı en devasa katkı tam da bu kuralı yıkan Zamanla Değişen</w:t>
      </w:r>
      <w:r>
        <w:rPr>
          <w:b/>
        </w:rPr>
        <w:t xml:space="preserve"> Kovaryatların (Time-Varying Covariates)</w:t>
      </w:r>
      <w:r>
        <w:t xml:space="preserve"> modele dahil edilmesidir! Bir müşteri bugün sadece bir vadesiz hesabı varken, 5 yıl sonra kredi kartı alabilir. Değişkenler zamanla değer değiştirdiği an, "sabit orantısallık" kuralı kasıtlı olarak esnetilir. Müşteri evrildikçe, onun taşıdığı anlık "Tehlike" (Hazard) seviyesi dinamik olarak yeniden hesaplanır. Statik lojistik regresyonun (ki o sadece zamanın bir anındaki fotoğrafı çeker) asla yapamayacağı dinamik video kaydını Cox modeli gerçekleştirir.</w:t>
      </w:r>
    </w:p>
    <w:p w14:paraId="1D0317A2" w14:textId="77777777" w:rsidR="00A27755" w:rsidRDefault="00000000">
      <w:pPr>
        <w:spacing w:before="360" w:after="120"/>
      </w:pPr>
      <w:r>
        <w:rPr>
          <w:rFonts w:ascii="Calibri" w:hAnsi="Calibri"/>
          <w:b/>
          <w:color w:val="1F4E79"/>
          <w:sz w:val="28"/>
        </w:rPr>
        <w:t>4. Çoklu Bağlantı (Multicollinearity), Veri Madenciliği ve Sansürlü Veri</w:t>
      </w:r>
    </w:p>
    <w:p w14:paraId="1AAE551B" w14:textId="77777777" w:rsidR="00A27755" w:rsidRDefault="00000000">
      <w:pPr>
        <w:jc w:val="both"/>
      </w:pPr>
      <w:r>
        <w:t>Araştırmacılar, 47.157 müşterilik devasa bir rastgele veri ambarı örneği kullanmıştır. Modelin sağlamlığını (robustness) test etmek için makine öğrenmesinin en ciddi sorunlarından ikisine meydan okumuşlardır.</w:t>
      </w:r>
    </w:p>
    <w:p w14:paraId="2D03A994" w14:textId="77777777" w:rsidR="00A27755" w:rsidRDefault="00000000">
      <w:pPr>
        <w:jc w:val="both"/>
      </w:pPr>
      <w:r>
        <w:t xml:space="preserve">Birincisi, </w:t>
      </w:r>
      <w:r>
        <w:rPr>
          <w:b/>
        </w:rPr>
        <w:t xml:space="preserve">Eksik Veri (Missing Data) ve </w:t>
      </w:r>
      <w:r>
        <w:t>Karar Ağacı</w:t>
      </w:r>
      <w:r>
        <w:rPr>
          <w:b/>
        </w:rPr>
        <w:t xml:space="preserve"> Ataması (Tree Imputation)</w:t>
      </w:r>
      <w:r>
        <w:t>: Sosyoekonomik durum gibi verilerdeki eksiklikler, göz ardı edilip silinmek (listwise deletion) yerine, diğer değişkenlerin gücünü kullanan Karar Ağaçları algoritmalarıyla tahmin edilip atanmıştır (imputation).</w:t>
      </w:r>
    </w:p>
    <w:p w14:paraId="008D5229" w14:textId="77777777" w:rsidR="00A27755" w:rsidRDefault="00000000">
      <w:pPr>
        <w:jc w:val="both"/>
      </w:pPr>
      <w:r>
        <w:t xml:space="preserve">İkincisi, </w:t>
      </w:r>
      <w:r>
        <w:rPr>
          <w:b/>
        </w:rPr>
        <w:t>Çoklu Bağlantı (Multicollinearity) ve Zaman Serisi İçi Korelasyon:</w:t>
      </w:r>
      <w:r>
        <w:t xml:space="preserve"> "Maaş" ile "Kredi Kartı Limiti" gibi değişkenler genelde birbiriyle yüksek korelasyonludur ve regresyon modellerinde standart hataları patlatarak parametreleri güvenilmez kılar. Araştırmacılar değişkenleri modele sırayla sokmuş ve korelasyon kesme noktalarını (cut-off) 0.20'den 0.80'e kadar zorlayarak parametre kararlılığını test etmiştir. Makale, 0.40'lık bir korelasyon eşiğinin optimum olduğunu devasa bir istatistiksel tabloyla ispatlar.</w:t>
      </w:r>
    </w:p>
    <w:p w14:paraId="489595A2" w14:textId="77777777" w:rsidR="00A27755" w:rsidRDefault="00000000">
      <w:pPr>
        <w:jc w:val="both"/>
      </w:pPr>
      <w:r>
        <w:t xml:space="preserve">Üçüncüsü, </w:t>
      </w:r>
      <w:r>
        <w:rPr>
          <w:b/>
        </w:rPr>
        <w:t>Sansürlü Gözlemler (Censored Observations):</w:t>
      </w:r>
      <w:r>
        <w:t xml:space="preserve"> Analizin bittiği tarih itibariyle bankada hala aktif olan müşteriler vardır. Klasik modeller bu verileri çöpe atarken, </w:t>
      </w:r>
      <w:r>
        <w:rPr>
          <w:b/>
        </w:rPr>
        <w:t>Yaşam Çözümlemesi</w:t>
      </w:r>
      <w:r>
        <w:t xml:space="preserve"> sağdan sansürlü (right-censored) olarak bilinen bu verileri "en azından o güne kadar hayatta kalmış olmaları" bilgisi üzerinden ihtimaller havuzuna muazzam bir zarafetle katar.</w:t>
      </w:r>
    </w:p>
    <w:p w14:paraId="2D9A3E2C" w14:textId="77777777" w:rsidR="00A27755" w:rsidRDefault="00000000">
      <w:pPr>
        <w:spacing w:before="360" w:after="120"/>
      </w:pPr>
      <w:r>
        <w:rPr>
          <w:rFonts w:ascii="Calibri" w:hAnsi="Calibri"/>
          <w:b/>
          <w:color w:val="1F4E79"/>
          <w:sz w:val="28"/>
        </w:rPr>
        <w:lastRenderedPageBreak/>
        <w:t>5. İkincil Banka (Secondary Bank) Sendromu ve Eğitim Paradoksu</w:t>
      </w:r>
    </w:p>
    <w:p w14:paraId="114FE685" w14:textId="77777777" w:rsidR="00A27755" w:rsidRDefault="00000000">
      <w:pPr>
        <w:jc w:val="both"/>
      </w:pPr>
      <w:r>
        <w:t>Modelin sonuçları incelendiğinde, bankanın piyasadaki konumu analizleri derinden etkilemiştir. İncelenen Avrupa'lı finans kurumu, müşterilerin gözünde genellikle "Birinci/Ana Banka" değil, "İkincil Banka" (Secondary Banking Institute) konumundadır. Çoğu müşteri burayı sadece yedek bir tasarruf hesabı olarak kullanmaktadır.</w:t>
      </w:r>
    </w:p>
    <w:p w14:paraId="414B2933" w14:textId="77777777" w:rsidR="00A27755" w:rsidRDefault="00000000">
      <w:pPr>
        <w:jc w:val="both"/>
      </w:pPr>
      <w:r>
        <w:t>Eğitim düzeyi ile churn arasında kurulan ilişki bu yüzden hayati bir öneme sahiptir. Makale, yüksek eğitimli müşterilerin churn olma oranının %8.2 daha düşük olduğunu bulmuştur! Neden mi? Çünkü yüksek eğitimli müşteriler, birden fazla bankayla (multi-bank) çalışmanın finansal avantajlarını kavramış olan rasyonel karar vericilerdir. Onlar, ikincil bankalarını bilinçli olarak seçtikleri için "rastgele" kararlarla bankayı terk etme eğilimleri çok daha düşüktür. Eğitim düzeyi, bankanın piyasadaki "ikincil" konumunu bir dezavantajdan, kalıcı bir avantaja dönüştürmüştür.</w:t>
      </w:r>
    </w:p>
    <w:p w14:paraId="7B785BCC" w14:textId="77777777" w:rsidR="00A27755" w:rsidRDefault="00000000">
      <w:pPr>
        <w:spacing w:before="360" w:after="120"/>
      </w:pPr>
      <w:r>
        <w:rPr>
          <w:rFonts w:ascii="Calibri" w:hAnsi="Calibri"/>
          <w:b/>
          <w:color w:val="1F4E79"/>
          <w:sz w:val="28"/>
        </w:rPr>
        <w:t>6. **Kaplan-Meier** Sağkalım Eğrisi ve Kritik Yaşam Döngüsü</w:t>
      </w:r>
    </w:p>
    <w:p w14:paraId="53668BE2" w14:textId="77777777" w:rsidR="00A27755" w:rsidRDefault="00000000">
      <w:pPr>
        <w:jc w:val="both"/>
      </w:pPr>
      <w:r>
        <w:t>Makalenin temel ampirik bulgularından biri, müşterilerin banka ile olan yolculuğunu gösteren Kaplan-Meier</w:t>
      </w:r>
      <w:r>
        <w:rPr>
          <w:b/>
        </w:rPr>
        <w:t xml:space="preserve"> Sağkalım Eğrisi (Survival Curve)</w:t>
      </w:r>
      <w:r>
        <w:t xml:space="preserve">'dir (Şekil 2). </w:t>
      </w:r>
      <w:r>
        <w:rPr>
          <w:b/>
        </w:rPr>
        <w:t>Kaplan-Meier</w:t>
      </w:r>
      <w:r>
        <w:t>, her ölüm anında hayatta kalma olasılığını yeniden çarpan non-parametrik bir eğridir.</w:t>
      </w:r>
    </w:p>
    <w:p w14:paraId="201130CC" w14:textId="77777777" w:rsidR="00A27755" w:rsidRDefault="00000000">
      <w:pPr>
        <w:jc w:val="both"/>
      </w:pPr>
      <w:r>
        <w:t>Şekil 2, bankacılık sektöründeki acımasız bir gerçeği kanıtlar: Müşterinin yaşam döngüsünde iki devasa "kritik" tehlike periyodu vardır. Müşteri ilk kazanıldığında (ilk 5-7 yıl) eğri inanılmaz bir hızla aşağı düşer. Bu, adaptasyon sürecini atlatamayan müşterilerin toplu katliamıdır. Eğer müşteri 7. yılı sağ atlatırsa, eğri bir platoya (yatay düzleme) oturur ve 15-20 yıl boyunca muazzam bir sadakat gösterir. Ancak 20. yıldan sonra, emeklilik veya makroekonomik döngüler sebebiyle sağkalım eğrisi tekrar aşağı doğru acımasızca çökmeye başlar.</w:t>
      </w:r>
    </w:p>
    <w:p w14:paraId="7C38510E" w14:textId="77777777" w:rsidR="00E32E8E" w:rsidRDefault="00E32E8E">
      <w:pPr>
        <w:spacing w:before="360" w:after="120"/>
        <w:rPr>
          <w:rFonts w:ascii="Calibri" w:hAnsi="Calibri"/>
          <w:b/>
          <w:color w:val="1F4E79"/>
          <w:sz w:val="28"/>
        </w:rPr>
      </w:pPr>
    </w:p>
    <w:p w14:paraId="3848D6E4" w14:textId="77777777" w:rsidR="00E32E8E" w:rsidRDefault="00E32E8E">
      <w:pPr>
        <w:spacing w:before="360" w:after="120"/>
        <w:rPr>
          <w:rFonts w:ascii="Calibri" w:hAnsi="Calibri"/>
          <w:b/>
          <w:color w:val="1F4E79"/>
          <w:sz w:val="28"/>
        </w:rPr>
      </w:pPr>
    </w:p>
    <w:p w14:paraId="13777489" w14:textId="77777777" w:rsidR="00E32E8E" w:rsidRDefault="00E32E8E">
      <w:pPr>
        <w:spacing w:before="360" w:after="120"/>
        <w:rPr>
          <w:rFonts w:ascii="Calibri" w:hAnsi="Calibri"/>
          <w:b/>
          <w:color w:val="1F4E79"/>
          <w:sz w:val="28"/>
        </w:rPr>
      </w:pPr>
    </w:p>
    <w:p w14:paraId="6958F111" w14:textId="77777777" w:rsidR="00E32E8E" w:rsidRDefault="00E32E8E">
      <w:pPr>
        <w:spacing w:before="360" w:after="120"/>
        <w:rPr>
          <w:rFonts w:ascii="Calibri" w:hAnsi="Calibri"/>
          <w:b/>
          <w:color w:val="1F4E79"/>
          <w:sz w:val="28"/>
        </w:rPr>
      </w:pPr>
    </w:p>
    <w:p w14:paraId="6BB36DC8" w14:textId="77777777" w:rsidR="00E32E8E" w:rsidRDefault="00E32E8E">
      <w:pPr>
        <w:spacing w:before="360" w:after="120"/>
        <w:rPr>
          <w:rFonts w:ascii="Calibri" w:hAnsi="Calibri"/>
          <w:b/>
          <w:color w:val="1F4E79"/>
          <w:sz w:val="28"/>
        </w:rPr>
      </w:pPr>
    </w:p>
    <w:p w14:paraId="33D123CE" w14:textId="77777777" w:rsidR="00E32E8E" w:rsidRDefault="00E32E8E">
      <w:pPr>
        <w:spacing w:before="360" w:after="120"/>
        <w:rPr>
          <w:rFonts w:ascii="Calibri" w:hAnsi="Calibri"/>
          <w:b/>
          <w:color w:val="1F4E79"/>
          <w:sz w:val="28"/>
        </w:rPr>
      </w:pPr>
    </w:p>
    <w:p w14:paraId="4E89D7D4" w14:textId="5D878A4A" w:rsidR="00A27755" w:rsidRDefault="00000000">
      <w:pPr>
        <w:spacing w:before="360" w:after="120"/>
      </w:pPr>
      <w:r>
        <w:rPr>
          <w:rFonts w:ascii="Calibri" w:hAnsi="Calibri"/>
          <w:b/>
          <w:color w:val="1F4E79"/>
          <w:sz w:val="28"/>
        </w:rPr>
        <w:lastRenderedPageBreak/>
        <w:t>7. Sonuç ve Yönetsel Çıkarımlar</w:t>
      </w:r>
    </w:p>
    <w:p w14:paraId="1929B211" w14:textId="77777777" w:rsidR="00A27755" w:rsidRDefault="00000000">
      <w:pPr>
        <w:jc w:val="both"/>
      </w:pPr>
      <w:r>
        <w:t xml:space="preserve">Bu çalışma, müşteri veritabanlarının derinliklerinde yatan ölüm-kalım felsefesini </w:t>
      </w:r>
      <w:r>
        <w:rPr>
          <w:b/>
        </w:rPr>
        <w:t>Cox Orantısal Tehlike</w:t>
      </w:r>
      <w:r>
        <w:t xml:space="preserve"> modeliyle gün yüzüne çıkarmıştır. Bu istatistiksel ispatlardan yöneticilerin alması gereken stratejik dersler şunlardır:</w:t>
      </w:r>
    </w:p>
    <w:p w14:paraId="6FA0E5AE" w14:textId="77777777" w:rsidR="00A27755" w:rsidRDefault="00000000">
      <w:pPr>
        <w:jc w:val="both"/>
      </w:pPr>
      <w:r>
        <w:t xml:space="preserve">Birincisi, </w:t>
      </w:r>
      <w:r>
        <w:rPr>
          <w:b/>
        </w:rPr>
        <w:t>Çapraz Satışın (Cross-Selling) Paradoksu:</w:t>
      </w:r>
      <w:r>
        <w:t xml:space="preserve"> Varsayımların aksine, müşterinin sahip olduğu spesifik ürün türleri, müşteriyi elde tutmada anlamsız kalmıştır. Önemli olan "hangi" ürüne sahip olduğu değil, </w:t>
      </w:r>
      <w:r>
        <w:rPr>
          <w:b/>
        </w:rPr>
        <w:t>"kaç farklı"</w:t>
      </w:r>
      <w:r>
        <w:t xml:space="preserve"> ürüne sahip olduğudur (Total product ownership). Hele ki "İkincil Banka" konumunda olan bir kurumda, tek bir ürün daha satmak, müşterinin terk etme (churn) ihtimalini anında %99.9 oranında düşürmektedir! Finansal kurumlar spesifik ürün dayatmak yerine, portföyü genişleten agresif çapraz satış ve üst satış kampanyaları kurgulamalıdır.</w:t>
      </w:r>
    </w:p>
    <w:p w14:paraId="0A982433" w14:textId="77777777" w:rsidR="00A27755" w:rsidRDefault="00000000">
      <w:pPr>
        <w:jc w:val="both"/>
      </w:pPr>
      <w:r>
        <w:t xml:space="preserve">İkincisi, </w:t>
      </w:r>
      <w:r>
        <w:rPr>
          <w:b/>
        </w:rPr>
        <w:t>İki Alışveriş Arası Süre (Interpurchase Time) Sinyalleri:</w:t>
      </w:r>
      <w:r>
        <w:t xml:space="preserve"> Analiz, müşterinin iki finansal işlemi arasındaki sürenin uzaması halinde (seyreklik), churn tehlikesinin her yıl için %4.9 arttığını ispatlamıştır. Sessizlik altın değildir; sessizlik, rakiplerle flört etmenin ayak sesidir. Kurumlar müşterilerini inaktif bırakmamak için proaktif mikro-etkileşimler tasarlamak zorundadır.</w:t>
      </w:r>
    </w:p>
    <w:p w14:paraId="09B15FDE" w14:textId="77777777" w:rsidR="00A27755" w:rsidRDefault="00000000">
      <w:pPr>
        <w:jc w:val="both"/>
      </w:pPr>
      <w:r>
        <w:t xml:space="preserve">Üçüncüsü, </w:t>
      </w:r>
      <w:r>
        <w:rPr>
          <w:b/>
        </w:rPr>
        <w:t>Makro Çevre, Şirket Birleşmeleri (Merger) ve Demografi:</w:t>
      </w:r>
      <w:r>
        <w:t xml:space="preserve"> Model, gayrisafi milli hasılanın (GNP) artmasının paradoksal olarak müşteri sadakatini düşürdüğünü (daha fazla churn yarattığını) ortaya koymuştur. Zenginleşen müşteri, alternatif arama lüksüne sahip olur. Cinsiyet bağlamında ise erkeklerin kadınlara göre bankayı terk etme olasılığının %141 daha yüksek olduğu görülmüştür. Öte yandan, bankanın geçirdiği "Şirket Birleşmesi" (Merger) sanılanın aksine yıkıcı olmamış, yeni bankanın gücünü artırdığı algısıyla müşterileri elde tutmada pozitif/nötr etki yaratmıştır.</w:t>
      </w:r>
    </w:p>
    <w:p w14:paraId="74B788FC" w14:textId="77777777" w:rsidR="00A27755" w:rsidRDefault="00000000">
      <w:pPr>
        <w:jc w:val="both"/>
      </w:pPr>
      <w:r>
        <w:t>Özetle, Müşteri İlişkileri Yönetimi (CRM) öznel anketlere ve sığ "son 6 ay" kurallarına terk edilemez. Veriyi zamanla değişen (time-varying) bir canlı organizma olarak okuyan şirketler, rakiplerinin neden müşteri kaybettiğini anlamadıkları bir piyasada, kimin ne zaman kurumu terk edeceğini aylar öncesinden bilecek ve önlemini alacaktır.</w:t>
      </w:r>
    </w:p>
    <w:sectPr w:rsidR="00A277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62951833">
    <w:abstractNumId w:val="8"/>
  </w:num>
  <w:num w:numId="2" w16cid:durableId="246966326">
    <w:abstractNumId w:val="6"/>
  </w:num>
  <w:num w:numId="3" w16cid:durableId="1834448012">
    <w:abstractNumId w:val="5"/>
  </w:num>
  <w:num w:numId="4" w16cid:durableId="2050104453">
    <w:abstractNumId w:val="4"/>
  </w:num>
  <w:num w:numId="5" w16cid:durableId="236328555">
    <w:abstractNumId w:val="7"/>
  </w:num>
  <w:num w:numId="6" w16cid:durableId="58094299">
    <w:abstractNumId w:val="3"/>
  </w:num>
  <w:num w:numId="7" w16cid:durableId="321323385">
    <w:abstractNumId w:val="2"/>
  </w:num>
  <w:num w:numId="8" w16cid:durableId="1571423088">
    <w:abstractNumId w:val="1"/>
  </w:num>
  <w:num w:numId="9" w16cid:durableId="32651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C12"/>
    <w:rsid w:val="00A27755"/>
    <w:rsid w:val="00AA1D8D"/>
    <w:rsid w:val="00B47730"/>
    <w:rsid w:val="00CB0664"/>
    <w:rsid w:val="00E32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BC0FA"/>
  <w14:defaultImageDpi w14:val="300"/>
  <w15:docId w15:val="{B53496E4-6D65-41C4-AF12-A49F30F23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2</cp:revision>
  <dcterms:created xsi:type="dcterms:W3CDTF">2013-12-23T23:15:00Z</dcterms:created>
  <dcterms:modified xsi:type="dcterms:W3CDTF">2026-07-02T08:16:00Z</dcterms:modified>
  <cp:category/>
</cp:coreProperties>
</file>