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EGE GÜNEŞ</w:t>
      </w:r>
    </w:p>
    <w:p>
      <w:pPr>
        <w:jc w:val="center"/>
      </w:pPr>
      <w:r>
        <w:rPr>
          <w:b/>
        </w:rPr>
        <w:t>Kıdemli Avukat</w:t>
      </w:r>
    </w:p>
    <w:p>
      <w:pPr>
        <w:jc w:val="center"/>
      </w:pPr>
      <w:r>
        <w:t>ege_gunes@example.com | +90 535 151 43 58 | Eskişehir / Tepebaşı</w:t>
      </w:r>
    </w:p>
    <w:p>
      <w:r>
        <w:rPr>
          <w:b/>
          <w:color w:val="262626"/>
          <w:sz w:val="22"/>
        </w:rPr>
        <w:t>PROFIL</w:t>
      </w:r>
    </w:p>
    <w:p>
      <w:r>
        <w:t>10 yıllık deneyime sahip avukat. hukuk / danışmanlık alanında ölçülebilir iş sonuçları üretmeye, ekiplerle koordineli çalışmaya ve süreçleri veriye dayalı iyileştirmeye odaklanır. Sözleşme Hukuku, Dava Takibi, UYAP, KVKK konularında güçlü uygulama deneyimi vardır.</w:t>
      </w:r>
    </w:p>
    <w:p>
      <w:r>
        <w:rPr>
          <w:b/>
          <w:color w:val="262626"/>
          <w:sz w:val="22"/>
        </w:rPr>
        <w:t>İŞ DENEYIMI</w:t>
      </w:r>
    </w:p>
    <w:p>
      <w:r>
        <w:rPr>
          <w:b/>
        </w:rPr>
        <w:t>Kıdemli Avukat — Legal Partners (Oca 2024 – Halen)</w:t>
      </w:r>
    </w:p>
    <w:p>
      <w:r>
        <w:t>Hukuk / Danışmanlık | Eskişehir</w:t>
      </w:r>
    </w:p>
    <w:p>
      <w:pPr>
        <w:pStyle w:val="ListBullet"/>
        <w:spacing w:after="20"/>
        <w:ind w:left="259"/>
      </w:pPr>
      <w:r>
        <w:rPr>
          <w:sz w:val="18"/>
        </w:rPr>
        <w:t>Ticari sözleşmelerin hazırlanması ve revizyonunu yürüttüm</w:t>
      </w:r>
    </w:p>
    <w:p>
      <w:pPr>
        <w:pStyle w:val="ListBullet"/>
        <w:spacing w:after="20"/>
        <w:ind w:left="259"/>
      </w:pPr>
      <w:r>
        <w:rPr>
          <w:sz w:val="18"/>
        </w:rPr>
        <w:t>KVKK uyum projelerinde hukuki risk analizi yaptım</w:t>
      </w:r>
    </w:p>
    <w:p>
      <w:pPr>
        <w:pStyle w:val="ListBullet"/>
        <w:spacing w:after="20"/>
        <w:ind w:left="259"/>
      </w:pPr>
      <w:r>
        <w:rPr>
          <w:sz w:val="18"/>
        </w:rPr>
        <w:t>Dava dosyalarında dilekçe ve duruşma süreçlerini takip ettim</w:t>
      </w:r>
    </w:p>
    <w:p>
      <w:r>
        <w:rPr>
          <w:b/>
        </w:rPr>
        <w:t>Avukat — Paksoy (Mar 2021 – Ara 2023)</w:t>
      </w:r>
    </w:p>
    <w:p>
      <w:r>
        <w:t>Hukuk / Danışmanlık | Eskişehir</w:t>
      </w:r>
    </w:p>
    <w:p>
      <w:pPr>
        <w:pStyle w:val="ListBullet"/>
        <w:spacing w:after="20"/>
        <w:ind w:left="259"/>
      </w:pPr>
      <w:r>
        <w:rPr>
          <w:sz w:val="18"/>
        </w:rPr>
        <w:t>Ticaret Hukuku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</w:rPr>
        <w:t>Avukat — Moroğlu Arseven (Mar 2017 – Ara 2020)</w:t>
      </w:r>
    </w:p>
    <w:p>
      <w:r>
        <w:t>Hukuk / Danışmanlık | Eskişehir</w:t>
      </w:r>
    </w:p>
    <w:p>
      <w:pPr>
        <w:pStyle w:val="ListBullet"/>
        <w:spacing w:after="20"/>
        <w:ind w:left="259"/>
      </w:pPr>
      <w:r>
        <w:rPr>
          <w:sz w:val="18"/>
        </w:rPr>
        <w:t>Sözleşme Hukuku ile operasyonel işleri destekleyen çözümler geliştirdim</w:t>
      </w:r>
    </w:p>
    <w:p>
      <w:pPr>
        <w:pStyle w:val="ListBullet"/>
        <w:spacing w:after="20"/>
        <w:ind w:left="259"/>
      </w:pPr>
      <w:r>
        <w:rPr>
          <w:sz w:val="18"/>
        </w:rPr>
        <w:t>Ekip hedeflerine katkı sağlayan raporlama ve süreç iyileştirme çalışmaları yaptım</w:t>
      </w:r>
    </w:p>
    <w:p>
      <w:pPr>
        <w:pStyle w:val="ListBullet"/>
        <w:spacing w:after="20"/>
        <w:ind w:left="259"/>
      </w:pPr>
      <w:r>
        <w:rPr>
          <w:sz w:val="18"/>
        </w:rPr>
        <w:t>Paydaşlarla düzenli iletişim kurarak proje çıktılarının zamanında tamamlanmasını sağladım</w:t>
      </w:r>
    </w:p>
    <w:p>
      <w:r>
        <w:rPr>
          <w:b/>
          <w:color w:val="262626"/>
          <w:sz w:val="22"/>
        </w:rPr>
        <w:t>EĞITIM</w:t>
      </w:r>
    </w:p>
    <w:p>
      <w:r>
        <w:t>Yüksek Lisans — Hukuk, Boğaziçi Üniversitesi (2018-2020) — GPA: 3.34</w:t>
      </w:r>
    </w:p>
    <w:p>
      <w:r>
        <w:t>Lisans — Hukuk, Ankara Üniversitesi (2013-2017) — GPA: 2.79</w:t>
      </w:r>
    </w:p>
    <w:p>
      <w:r>
        <w:rPr>
          <w:b/>
          <w:color w:val="262626"/>
          <w:sz w:val="22"/>
        </w:rPr>
        <w:t>TEKNIK / MESLEKI YETENEKLER</w:t>
      </w:r>
    </w:p>
    <w:p>
      <w:r>
        <w:t>Sözleşme Hukuku, Dava Takibi, UYAP, KVKK, Ticaret Hukuku, Arabuluculuk, Hukuki Araştırma, Müzakere, İcra Takibi, Risk Analizi</w:t>
      </w:r>
    </w:p>
    <w:p>
      <w:r>
        <w:rPr>
          <w:b/>
          <w:color w:val="262626"/>
          <w:sz w:val="22"/>
        </w:rPr>
        <w:t>SERTIFIKALAR</w:t>
      </w:r>
    </w:p>
    <w:p>
      <w:pPr>
        <w:pStyle w:val="ListBullet"/>
        <w:spacing w:after="20"/>
        <w:ind w:left="259"/>
      </w:pPr>
      <w:r>
        <w:rPr>
          <w:sz w:val="18"/>
        </w:rPr>
        <w:t>KVKK Uyum Programı Eğitimi (2023)</w:t>
      </w:r>
    </w:p>
    <w:p>
      <w:pPr>
        <w:pStyle w:val="ListBullet"/>
        <w:spacing w:after="20"/>
        <w:ind w:left="259"/>
      </w:pPr>
      <w:r>
        <w:rPr>
          <w:sz w:val="18"/>
        </w:rPr>
        <w:t>Arabuluculuk Temel Eğitimi (2024)</w:t>
      </w:r>
    </w:p>
    <w:p>
      <w:r>
        <w:rPr>
          <w:b/>
          <w:color w:val="262626"/>
          <w:sz w:val="22"/>
        </w:rPr>
        <w:t>DILLER</w:t>
      </w:r>
    </w:p>
    <w:p>
      <w:pPr>
        <w:pStyle w:val="ListBullet"/>
        <w:spacing w:after="20"/>
        <w:ind w:left="259"/>
      </w:pPr>
      <w:r>
        <w:rPr>
          <w:sz w:val="18"/>
        </w:rPr>
        <w:t>Türkçe — Ana dil</w:t>
      </w:r>
    </w:p>
    <w:p>
      <w:pPr>
        <w:pStyle w:val="ListBullet"/>
        <w:spacing w:after="20"/>
        <w:ind w:left="259"/>
      </w:pPr>
      <w:r>
        <w:rPr>
          <w:sz w:val="18"/>
        </w:rPr>
        <w:t>İngilizce — Orta (B1)</w:t>
      </w:r>
    </w:p>
    <w:p>
      <w:pPr>
        <w:pStyle w:val="ListBullet"/>
        <w:spacing w:after="20"/>
        <w:ind w:left="259"/>
      </w:pPr>
      <w:r>
        <w:rPr>
          <w:sz w:val="18"/>
        </w:rPr>
        <w:t>Fransızca — Başlangıç (A2)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