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Bölüm 4. Test Faaliyetleri</w:t>
      </w:r>
    </w:p>
    <w:p>
      <w:pPr>
        <w:spacing w:line="276" w:lineRule="auto"/>
        <w:jc w:val="both"/>
      </w:pPr>
      <w:r>
        <w:rPr>
          <w:rFonts w:ascii="Calibri" w:hAnsi="Calibri" w:cs="Calibri"/>
          <w:b w:val="0"/>
          <w:sz w:val="22"/>
        </w:rPr>
        <w:t>Bu bölümde, geliştirilen yazılım, görüntü işleme (algı) ve haberleşme alt sistemlerinin görev gereksinimlerini karşıladığını teknik olarak ortaya koyan test ve doğrulama faaliyetleri sunulmaktadır. Her faaliyet; amacı, uygulanma yöntemi, başarı kriteri ve doğruladığı gereksinim (Bölüm 5) ile birlikte tanımlanmıştır. Raporlanan tüm sonuçlar fiilen çalıştırılmış testlere ait olup, henüz gerçekleştirilmemiş faaliyetler ayrı bir program (Tablo 4.5) altında sunulmuştur. İHA/İKA yapısal-aerodinamik testleri, aviyonik donanım kabul testleri ve mancınık atış testleri ilgili disiplin ekibi tarafından ayrıca ele alınmaktadır.</w:t>
      </w:r>
    </w:p>
    <w:p>
      <w:pPr>
        <w:spacing w:line="276" w:lineRule="auto"/>
        <w:jc w:val="both"/>
      </w:pPr>
      <w:r>
        <w:rPr>
          <w:rFonts w:ascii="Calibri" w:hAnsi="Calibri" w:cs="Calibri"/>
          <w:b/>
          <w:sz w:val="22"/>
        </w:rPr>
        <w:t xml:space="preserve">Test Yaklaşımı. </w:t>
      </w:r>
      <w:r>
        <w:rPr>
          <w:rFonts w:ascii="Calibri" w:hAnsi="Calibri" w:cs="Calibri"/>
          <w:b w:val="0"/>
          <w:sz w:val="22"/>
        </w:rPr>
        <w:t>Yazılım doğrulaması, V-model yaklaşımına uygun olarak dört seviyede yürütülmüştür. Birim seviyesinde tekil fonksiyonlar (protokol kodlama/çözme, sürüş koridoru çıkarımı) izole doğrulanmış; entegrasyon seviyesinde bileşenlerin birlikte çalışması (İHA'dan YKS ve İKA'ya aktarım, ACK ve HEARTBEAT mekanizmaları) sınanmış; sistem seviyesinde uçtan uca akış gerçek görüntü verisiyle çalıştırılmış; kabul seviyesinde ise üretim modeli, önceden belirlenmiş ölçülebilir bir başarı kriterine (maske mAP50 ≥ 0,60) karşı değerlendirilmiştir. Bu kademeli yapı, her gereksinimin uygun ayrıntı düzeyinde ve tekrarlanabilir biçimde doğrulanmasını sağlamaktadır.</w:t>
      </w:r>
    </w:p>
    <w:p>
      <w:pPr>
        <w:spacing w:line="276" w:lineRule="auto"/>
        <w:jc w:val="both"/>
      </w:pPr>
      <w:r>
        <w:rPr>
          <w:rFonts w:ascii="Calibri" w:hAnsi="Calibri" w:cs="Calibri"/>
          <w:b/>
          <w:sz w:val="22"/>
        </w:rPr>
        <w:t xml:space="preserve">Görüntü İşleme Modeli Kabul Testi. </w:t>
      </w:r>
      <w:r>
        <w:rPr>
          <w:rFonts w:ascii="Calibri" w:hAnsi="Calibri" w:cs="Calibri"/>
          <w:b w:val="0"/>
          <w:sz w:val="22"/>
        </w:rPr>
        <w:t>Şartname madde 2.2.2 uyarınca İHA'nın açık güzergâhı tespit etme yetkinliği, üretim modeli navitas_seg_v4 üzerinde ölçülmüştür. Test, v1 sürümünden bu yana değişmeden tutulan 294 görüntülük RescueNet doğrulama kümesinde, Ultralytics YOLOv8 val aracı ile piksel bazlı segmentasyon ölçümü olarak (15.07.2026 tarihinde) gerçekleştirilmiştir. Başarı kriteri olan maske mAP50 ≥ 0,60 hedefi, ölçülen 0,6751 değeri ile karşılanmıştır. Sonucun modele ait kararlı bir başarım olduğunu kanıtlamak amacıyla ölçüm, ağırlığın SHA-256 özeti (6b93f200…) doğrulanarak üç bağımsız koşuda —üçüncüsü farklı bir Ultralytics sürümünde (8.4.72)— yinelenmiş ve her üçünde de birebir aynı değer elde edilmiştir (Tablo 4.1). Elde edilen değerin modele gömülü eğitim-sonu değerinden (0,6773) yalnızca 0,0022 sapması, ölçüm metodolojisinin sağlıklı olduğunu teyit etmektedir.</w:t>
      </w:r>
    </w:p>
    <w:tbl>
      <w:tblPr>
        <w:tblStyle w:val="Table1"/>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438"/>
            <w:shd w:val="clear" w:color="auto" w:fill="1F3864"/>
          </w:tcPr>
          <w:p>
            <w:pPr>
              <w:jc w:val="center"/>
            </w:pPr>
            <w:r/>
            <w:r>
              <w:rPr>
                <w:rFonts w:ascii="Calibri" w:hAnsi="Calibri" w:cs="Calibri"/>
                <w:b/>
                <w:color w:val="FFFFFF"/>
                <w:sz w:val="20"/>
              </w:rPr>
              <w:t>Koşu</w:t>
            </w:r>
          </w:p>
        </w:tc>
        <w:tc>
          <w:tcPr>
            <w:tcW w:type="dxa" w:w="4252"/>
            <w:shd w:val="clear" w:color="auto" w:fill="1F3864"/>
          </w:tcPr>
          <w:p>
            <w:pPr>
              <w:jc w:val="center"/>
            </w:pPr>
            <w:r/>
            <w:r>
              <w:rPr>
                <w:rFonts w:ascii="Calibri" w:hAnsi="Calibri" w:cs="Calibri"/>
                <w:b/>
                <w:color w:val="FFFFFF"/>
                <w:sz w:val="20"/>
              </w:rPr>
              <w:t>Ortam / Sürüm</w:t>
            </w:r>
          </w:p>
        </w:tc>
        <w:tc>
          <w:tcPr>
            <w:tcW w:type="dxa" w:w="1531"/>
            <w:shd w:val="clear" w:color="auto" w:fill="1F3864"/>
          </w:tcPr>
          <w:p>
            <w:pPr>
              <w:jc w:val="center"/>
            </w:pPr>
            <w:r/>
            <w:r>
              <w:rPr>
                <w:rFonts w:ascii="Calibri" w:hAnsi="Calibri" w:cs="Calibri"/>
                <w:b/>
                <w:color w:val="FFFFFF"/>
                <w:sz w:val="20"/>
              </w:rPr>
              <w:t>SHA-256 (ilk 12)</w:t>
            </w:r>
          </w:p>
        </w:tc>
        <w:tc>
          <w:tcPr>
            <w:tcW w:type="dxa" w:w="1247"/>
            <w:shd w:val="clear" w:color="auto" w:fill="1F3864"/>
          </w:tcPr>
          <w:p>
            <w:pPr>
              <w:jc w:val="center"/>
            </w:pPr>
            <w:r/>
            <w:r>
              <w:rPr>
                <w:rFonts w:ascii="Calibri" w:hAnsi="Calibri" w:cs="Calibri"/>
                <w:b/>
                <w:color w:val="FFFFFF"/>
                <w:sz w:val="20"/>
              </w:rPr>
              <w:t>Maske mAP50</w:t>
            </w:r>
          </w:p>
        </w:tc>
      </w:tr>
      <w:tr>
        <w:trPr>
          <w:cantSplit/>
        </w:trPr>
        <w:tc>
          <w:tcPr>
            <w:tcW w:type="dxa" w:w="2438"/>
            <w:shd w:val="clear" w:color="auto" w:fill="F2F6FA"/>
          </w:tcPr>
          <w:p>
            <w:pPr>
              <w:spacing w:line="264" w:lineRule="auto"/>
            </w:pPr>
            <w:r/>
            <w:r>
              <w:rPr>
                <w:rFonts w:ascii="Calibri" w:hAnsi="Calibri" w:cs="Calibri"/>
                <w:sz w:val="20"/>
              </w:rPr>
              <w:t>1 — eğitim sonrası</w:t>
            </w:r>
          </w:p>
        </w:tc>
        <w:tc>
          <w:tcPr>
            <w:tcW w:type="dxa" w:w="4252"/>
            <w:shd w:val="clear" w:color="auto" w:fill="F2F6FA"/>
          </w:tcPr>
          <w:p>
            <w:pPr>
              <w:spacing w:line="264" w:lineRule="auto"/>
            </w:pPr>
            <w:r/>
            <w:r>
              <w:rPr>
                <w:rFonts w:ascii="Calibri" w:hAnsi="Calibri" w:cs="Calibri"/>
                <w:sz w:val="20"/>
              </w:rPr>
              <w:t>RTX 5080 Laptop GPU · Ultralytics 8.4.92</w:t>
            </w:r>
          </w:p>
        </w:tc>
        <w:tc>
          <w:tcPr>
            <w:tcW w:type="dxa" w:w="1531"/>
            <w:shd w:val="clear" w:color="auto" w:fill="F2F6FA"/>
          </w:tcPr>
          <w:p>
            <w:pPr>
              <w:spacing w:line="264" w:lineRule="auto"/>
            </w:pPr>
            <w:r/>
            <w:r>
              <w:rPr>
                <w:rFonts w:ascii="Calibri" w:hAnsi="Calibri" w:cs="Calibri"/>
                <w:sz w:val="20"/>
              </w:rPr>
              <w:t>6b93f20024a9</w:t>
            </w:r>
          </w:p>
        </w:tc>
        <w:tc>
          <w:tcPr>
            <w:tcW w:type="dxa" w:w="1247"/>
            <w:shd w:val="clear" w:color="auto" w:fill="F2F6FA"/>
          </w:tcPr>
          <w:p>
            <w:pPr>
              <w:spacing w:line="264" w:lineRule="auto"/>
            </w:pPr>
            <w:r/>
            <w:r>
              <w:rPr>
                <w:rFonts w:ascii="Calibri" w:hAnsi="Calibri" w:cs="Calibri"/>
                <w:sz w:val="20"/>
              </w:rPr>
              <w:t>0,6751</w:t>
            </w:r>
          </w:p>
        </w:tc>
      </w:tr>
      <w:tr>
        <w:trPr>
          <w:cantSplit/>
        </w:trPr>
        <w:tc>
          <w:tcPr>
            <w:tcW w:type="dxa" w:w="2438"/>
            <w:shd w:val="clear" w:color="auto" w:fill="F2F6FA"/>
          </w:tcPr>
          <w:p>
            <w:pPr>
              <w:spacing w:line="264" w:lineRule="auto"/>
            </w:pPr>
            <w:r/>
            <w:r>
              <w:rPr>
                <w:rFonts w:ascii="Calibri" w:hAnsi="Calibri" w:cs="Calibri"/>
                <w:sz w:val="20"/>
              </w:rPr>
              <w:t>2 — bağımsız (venv)</w:t>
            </w:r>
          </w:p>
        </w:tc>
        <w:tc>
          <w:tcPr>
            <w:tcW w:type="dxa" w:w="4252"/>
            <w:shd w:val="clear" w:color="auto" w:fill="F2F6FA"/>
          </w:tcPr>
          <w:p>
            <w:pPr>
              <w:spacing w:line="264" w:lineRule="auto"/>
            </w:pPr>
            <w:r/>
            <w:r>
              <w:rPr>
                <w:rFonts w:ascii="Calibri" w:hAnsi="Calibri" w:cs="Calibri"/>
                <w:sz w:val="20"/>
              </w:rPr>
              <w:t>Aynı GPU · ayrı doğrulama betiği · Ultralytics 8.4.92</w:t>
            </w:r>
          </w:p>
        </w:tc>
        <w:tc>
          <w:tcPr>
            <w:tcW w:type="dxa" w:w="1531"/>
            <w:shd w:val="clear" w:color="auto" w:fill="F2F6FA"/>
          </w:tcPr>
          <w:p>
            <w:pPr>
              <w:spacing w:line="264" w:lineRule="auto"/>
            </w:pPr>
            <w:r/>
            <w:r>
              <w:rPr>
                <w:rFonts w:ascii="Calibri" w:hAnsi="Calibri" w:cs="Calibri"/>
                <w:sz w:val="20"/>
              </w:rPr>
              <w:t>6b93f20024a9</w:t>
            </w:r>
          </w:p>
        </w:tc>
        <w:tc>
          <w:tcPr>
            <w:tcW w:type="dxa" w:w="1247"/>
            <w:shd w:val="clear" w:color="auto" w:fill="F2F6FA"/>
          </w:tcPr>
          <w:p>
            <w:pPr>
              <w:spacing w:line="264" w:lineRule="auto"/>
            </w:pPr>
            <w:r/>
            <w:r>
              <w:rPr>
                <w:rFonts w:ascii="Calibri" w:hAnsi="Calibri" w:cs="Calibri"/>
                <w:sz w:val="20"/>
              </w:rPr>
              <w:t>0,6751</w:t>
            </w:r>
          </w:p>
        </w:tc>
      </w:tr>
      <w:tr>
        <w:trPr>
          <w:cantSplit/>
        </w:trPr>
        <w:tc>
          <w:tcPr>
            <w:tcW w:type="dxa" w:w="2438"/>
            <w:shd w:val="clear" w:color="auto" w:fill="F2F6FA"/>
          </w:tcPr>
          <w:p>
            <w:pPr>
              <w:spacing w:line="264" w:lineRule="auto"/>
            </w:pPr>
            <w:r/>
            <w:r>
              <w:rPr>
                <w:rFonts w:ascii="Calibri" w:hAnsi="Calibri" w:cs="Calibri"/>
                <w:sz w:val="20"/>
              </w:rPr>
              <w:t>3 — bağımsız (sistem Python)</w:t>
            </w:r>
          </w:p>
        </w:tc>
        <w:tc>
          <w:tcPr>
            <w:tcW w:type="dxa" w:w="4252"/>
            <w:shd w:val="clear" w:color="auto" w:fill="F2F6FA"/>
          </w:tcPr>
          <w:p>
            <w:pPr>
              <w:spacing w:line="264" w:lineRule="auto"/>
            </w:pPr>
            <w:r/>
            <w:r>
              <w:rPr>
                <w:rFonts w:ascii="Calibri" w:hAnsi="Calibri" w:cs="Calibri"/>
                <w:sz w:val="20"/>
              </w:rPr>
              <w:t>Aynı GPU · farklı kurulum · Ultralytics 8.4.72</w:t>
            </w:r>
          </w:p>
        </w:tc>
        <w:tc>
          <w:tcPr>
            <w:tcW w:type="dxa" w:w="1531"/>
            <w:shd w:val="clear" w:color="auto" w:fill="F2F6FA"/>
          </w:tcPr>
          <w:p>
            <w:pPr>
              <w:spacing w:line="264" w:lineRule="auto"/>
            </w:pPr>
            <w:r/>
            <w:r>
              <w:rPr>
                <w:rFonts w:ascii="Calibri" w:hAnsi="Calibri" w:cs="Calibri"/>
                <w:sz w:val="20"/>
              </w:rPr>
              <w:t>6b93f20024a9</w:t>
            </w:r>
          </w:p>
        </w:tc>
        <w:tc>
          <w:tcPr>
            <w:tcW w:type="dxa" w:w="1247"/>
            <w:shd w:val="clear" w:color="auto" w:fill="F2F6FA"/>
          </w:tcPr>
          <w:p>
            <w:pPr>
              <w:spacing w:line="264" w:lineRule="auto"/>
            </w:pPr>
            <w:r/>
            <w:r>
              <w:rPr>
                <w:rFonts w:ascii="Calibri" w:hAnsi="Calibri" w:cs="Calibri"/>
                <w:sz w:val="20"/>
              </w:rPr>
              <w:t>0,6751</w:t>
            </w:r>
          </w:p>
        </w:tc>
      </w:tr>
    </w:tbl>
    <w:p>
      <w:pPr>
        <w:spacing w:line="276" w:lineRule="auto"/>
        <w:jc w:val="center"/>
      </w:pPr>
      <w:r>
        <w:rPr>
          <w:rFonts w:ascii="Calibri" w:hAnsi="Calibri" w:cs="Calibri"/>
          <w:b/>
          <w:sz w:val="22"/>
        </w:rPr>
        <w:t>Tablo 4.1. navitas_seg_v4 kabul testi — kimlik doğrulamalı bağımsız tekrar ölçümü</w:t>
      </w:r>
    </w:p>
    <w:p>
      <w:pPr>
        <w:spacing w:line="276" w:lineRule="auto"/>
        <w:jc w:val="both"/>
      </w:pPr>
      <w:r>
        <w:rPr>
          <w:rFonts w:ascii="Calibri" w:hAnsi="Calibri" w:cs="Calibri"/>
          <w:b/>
          <w:sz w:val="22"/>
        </w:rPr>
        <w:t xml:space="preserve">Haberleşme Protokolü Entegrasyon Testi. </w:t>
      </w:r>
      <w:r>
        <w:rPr>
          <w:rFonts w:ascii="Calibri" w:hAnsi="Calibri" w:cs="Calibri"/>
          <w:b w:val="0"/>
          <w:sz w:val="22"/>
        </w:rPr>
        <w:t>Şartname madde 2.2.3 (güzergâh bilgisinin İHA havadayken YKS ve İKA'ya aktarılması) ile madde 6.4 (veri akışı sağlanamazsa uçuşun geçersiz sayılması) gereklilikleri, comms/test_comms.py entegrasyon betiği ile UDP loopback ortamında, insan müdahalesi gerektirmeyen doğrulama-koşulu (assertion) tabanlı bir test olarak (15.07.2026'da) sınanmıştır. Test; OPEN_ROUTE mesajının her iki alıcıya ulaşmasını ve ACK dönmesini, referans nokta ile waypoint listesinin bozulmadan iletilmesini ve HEARTBEAT kesildiğinde sistemin güvenli-durma davranışına geçip önbellekteki güzergâhı koruduğunu doğrulamaktadır. Tüm doğrulama koşulları sağlanmış, test başarıyla geçmiştir (Tablo 4.2). Buna karşın, OPEN_ROUTE çerçevesinde açık bir bütünlük alanı (CRC/sağlama toplamı) henüz bulunmamaktadır; Hat-3 Navitas UART v2 protokolünde mevcut olan CRC8 denetiminin OPEN_ROUTE'a da eklenmesi, açık madde olarak (G-SW-07) izlenmekte ve FDR öncesinde kapatılması planlanmaktadır.</w:t>
      </w:r>
    </w:p>
    <w:tbl>
      <w:tblPr>
        <w:tblStyle w:val="Table1"/>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454"/>
            <w:shd w:val="clear" w:color="auto" w:fill="1F3864"/>
          </w:tcPr>
          <w:p>
            <w:pPr>
              <w:jc w:val="center"/>
            </w:pPr>
            <w:r/>
            <w:r>
              <w:rPr>
                <w:rFonts w:ascii="Calibri" w:hAnsi="Calibri" w:cs="Calibri"/>
                <w:b/>
                <w:color w:val="FFFFFF"/>
                <w:sz w:val="20"/>
              </w:rPr>
              <w:t>#</w:t>
            </w:r>
          </w:p>
        </w:tc>
        <w:tc>
          <w:tcPr>
            <w:tcW w:type="dxa" w:w="2948"/>
            <w:shd w:val="clear" w:color="auto" w:fill="1F3864"/>
          </w:tcPr>
          <w:p>
            <w:pPr>
              <w:jc w:val="center"/>
            </w:pPr>
            <w:r/>
            <w:r>
              <w:rPr>
                <w:rFonts w:ascii="Calibri" w:hAnsi="Calibri" w:cs="Calibri"/>
                <w:b/>
                <w:color w:val="FFFFFF"/>
                <w:sz w:val="20"/>
              </w:rPr>
              <w:t>Test Adımı</w:t>
            </w:r>
          </w:p>
        </w:tc>
        <w:tc>
          <w:tcPr>
            <w:tcW w:type="dxa" w:w="2721"/>
            <w:shd w:val="clear" w:color="auto" w:fill="1F3864"/>
          </w:tcPr>
          <w:p>
            <w:pPr>
              <w:jc w:val="center"/>
            </w:pPr>
            <w:r/>
            <w:r>
              <w:rPr>
                <w:rFonts w:ascii="Calibri" w:hAnsi="Calibri" w:cs="Calibri"/>
                <w:b/>
                <w:color w:val="FFFFFF"/>
                <w:sz w:val="20"/>
              </w:rPr>
              <w:t>Beklenen Davranış</w:t>
            </w:r>
          </w:p>
        </w:tc>
        <w:tc>
          <w:tcPr>
            <w:tcW w:type="dxa" w:w="3345"/>
            <w:shd w:val="clear" w:color="auto" w:fill="1F3864"/>
          </w:tcPr>
          <w:p>
            <w:pPr>
              <w:jc w:val="center"/>
            </w:pPr>
            <w:r/>
            <w:r>
              <w:rPr>
                <w:rFonts w:ascii="Calibri" w:hAnsi="Calibri" w:cs="Calibri"/>
                <w:b/>
                <w:color w:val="FFFFFF"/>
                <w:sz w:val="20"/>
              </w:rPr>
              <w:t>Gözlenen Sonuç</w:t>
            </w:r>
          </w:p>
        </w:tc>
      </w:tr>
      <w:tr>
        <w:trPr>
          <w:cantSplit/>
        </w:trPr>
        <w:tc>
          <w:tcPr>
            <w:tcW w:type="dxa" w:w="454"/>
            <w:shd w:val="clear" w:color="auto" w:fill="F2F6FA"/>
          </w:tcPr>
          <w:p>
            <w:pPr>
              <w:spacing w:line="264" w:lineRule="auto"/>
            </w:pPr>
            <w:r/>
            <w:r>
              <w:rPr>
                <w:rFonts w:ascii="Calibri" w:hAnsi="Calibri" w:cs="Calibri"/>
                <w:sz w:val="20"/>
              </w:rPr>
              <w:t>1</w:t>
            </w:r>
          </w:p>
        </w:tc>
        <w:tc>
          <w:tcPr>
            <w:tcW w:type="dxa" w:w="2948"/>
            <w:shd w:val="clear" w:color="auto" w:fill="F2F6FA"/>
          </w:tcPr>
          <w:p>
            <w:pPr>
              <w:spacing w:line="264" w:lineRule="auto"/>
            </w:pPr>
            <w:r/>
            <w:r>
              <w:rPr>
                <w:rFonts w:ascii="Calibri" w:hAnsi="Calibri" w:cs="Calibri"/>
                <w:sz w:val="20"/>
              </w:rPr>
              <w:t>OPEN_ROUTE iletimi (İHA→İKA, İHA→YKS)</w:t>
            </w:r>
          </w:p>
        </w:tc>
        <w:tc>
          <w:tcPr>
            <w:tcW w:type="dxa" w:w="2721"/>
            <w:shd w:val="clear" w:color="auto" w:fill="F2F6FA"/>
          </w:tcPr>
          <w:p>
            <w:pPr>
              <w:spacing w:line="264" w:lineRule="auto"/>
            </w:pPr>
            <w:r/>
            <w:r>
              <w:rPr>
                <w:rFonts w:ascii="Calibri" w:hAnsi="Calibri" w:cs="Calibri"/>
                <w:sz w:val="20"/>
              </w:rPr>
              <w:t>Her iki alıcı alır, ACK döner</w:t>
            </w:r>
          </w:p>
        </w:tc>
        <w:tc>
          <w:tcPr>
            <w:tcW w:type="dxa" w:w="3345"/>
            <w:shd w:val="clear" w:color="auto" w:fill="F2F6FA"/>
          </w:tcPr>
          <w:p>
            <w:pPr>
              <w:spacing w:line="264" w:lineRule="auto"/>
            </w:pPr>
            <w:r/>
            <w:r>
              <w:rPr>
                <w:rFonts w:ascii="Calibri" w:hAnsi="Calibri" w:cs="Calibri"/>
                <w:sz w:val="20"/>
              </w:rPr>
              <w:t>İKA ve YKS ACK döndü</w:t>
            </w:r>
          </w:p>
        </w:tc>
      </w:tr>
      <w:tr>
        <w:trPr>
          <w:cantSplit/>
        </w:trPr>
        <w:tc>
          <w:tcPr>
            <w:tcW w:type="dxa" w:w="454"/>
            <w:shd w:val="clear" w:color="auto" w:fill="F2F6FA"/>
          </w:tcPr>
          <w:p>
            <w:pPr>
              <w:spacing w:line="264" w:lineRule="auto"/>
            </w:pPr>
            <w:r/>
            <w:r>
              <w:rPr>
                <w:rFonts w:ascii="Calibri" w:hAnsi="Calibri" w:cs="Calibri"/>
                <w:sz w:val="20"/>
              </w:rPr>
              <w:t>2</w:t>
            </w:r>
          </w:p>
        </w:tc>
        <w:tc>
          <w:tcPr>
            <w:tcW w:type="dxa" w:w="2948"/>
            <w:shd w:val="clear" w:color="auto" w:fill="F2F6FA"/>
          </w:tcPr>
          <w:p>
            <w:pPr>
              <w:spacing w:line="264" w:lineRule="auto"/>
            </w:pPr>
            <w:r/>
            <w:r>
              <w:rPr>
                <w:rFonts w:ascii="Calibri" w:hAnsi="Calibri" w:cs="Calibri"/>
                <w:sz w:val="20"/>
              </w:rPr>
              <w:t>Referans nokta + waypoint bütünlüğü</w:t>
            </w:r>
          </w:p>
        </w:tc>
        <w:tc>
          <w:tcPr>
            <w:tcW w:type="dxa" w:w="2721"/>
            <w:shd w:val="clear" w:color="auto" w:fill="F2F6FA"/>
          </w:tcPr>
          <w:p>
            <w:pPr>
              <w:spacing w:line="264" w:lineRule="auto"/>
            </w:pPr>
            <w:r/>
            <w:r>
              <w:rPr>
                <w:rFonts w:ascii="Calibri" w:hAnsi="Calibri" w:cs="Calibri"/>
                <w:sz w:val="20"/>
              </w:rPr>
              <w:t>Veri birebir eşleşir</w:t>
            </w:r>
          </w:p>
        </w:tc>
        <w:tc>
          <w:tcPr>
            <w:tcW w:type="dxa" w:w="3345"/>
            <w:shd w:val="clear" w:color="auto" w:fill="F2F6FA"/>
          </w:tcPr>
          <w:p>
            <w:pPr>
              <w:spacing w:line="264" w:lineRule="auto"/>
            </w:pPr>
            <w:r/>
            <w:r>
              <w:rPr>
                <w:rFonts w:ascii="Calibri" w:hAnsi="Calibri" w:cs="Calibri"/>
                <w:sz w:val="20"/>
              </w:rPr>
              <w:t>ref_xy + 4 waypoint birebir eşleşti</w:t>
            </w:r>
          </w:p>
        </w:tc>
      </w:tr>
      <w:tr>
        <w:trPr>
          <w:cantSplit/>
        </w:trPr>
        <w:tc>
          <w:tcPr>
            <w:tcW w:type="dxa" w:w="454"/>
            <w:shd w:val="clear" w:color="auto" w:fill="F2F6FA"/>
          </w:tcPr>
          <w:p>
            <w:pPr>
              <w:spacing w:line="264" w:lineRule="auto"/>
            </w:pPr>
            <w:r/>
            <w:r>
              <w:rPr>
                <w:rFonts w:ascii="Calibri" w:hAnsi="Calibri" w:cs="Calibri"/>
                <w:sz w:val="20"/>
              </w:rPr>
              <w:t>3</w:t>
            </w:r>
          </w:p>
        </w:tc>
        <w:tc>
          <w:tcPr>
            <w:tcW w:type="dxa" w:w="2948"/>
            <w:shd w:val="clear" w:color="auto" w:fill="F2F6FA"/>
          </w:tcPr>
          <w:p>
            <w:pPr>
              <w:spacing w:line="264" w:lineRule="auto"/>
            </w:pPr>
            <w:r/>
            <w:r>
              <w:rPr>
                <w:rFonts w:ascii="Calibri" w:hAnsi="Calibri" w:cs="Calibri"/>
                <w:sz w:val="20"/>
              </w:rPr>
              <w:t>HEARTBEAT akışı</w:t>
            </w:r>
          </w:p>
        </w:tc>
        <w:tc>
          <w:tcPr>
            <w:tcW w:type="dxa" w:w="2721"/>
            <w:shd w:val="clear" w:color="auto" w:fill="F2F6FA"/>
          </w:tcPr>
          <w:p>
            <w:pPr>
              <w:spacing w:line="264" w:lineRule="auto"/>
            </w:pPr>
            <w:r/>
            <w:r>
              <w:rPr>
                <w:rFonts w:ascii="Calibri" w:hAnsi="Calibri" w:cs="Calibri"/>
                <w:sz w:val="20"/>
              </w:rPr>
              <w:t>Bağlantı canlı (link_ok)</w:t>
            </w:r>
          </w:p>
        </w:tc>
        <w:tc>
          <w:tcPr>
            <w:tcW w:type="dxa" w:w="3345"/>
            <w:shd w:val="clear" w:color="auto" w:fill="F2F6FA"/>
          </w:tcPr>
          <w:p>
            <w:pPr>
              <w:spacing w:line="264" w:lineRule="auto"/>
            </w:pPr>
            <w:r/>
            <w:r>
              <w:rPr>
                <w:rFonts w:ascii="Calibri" w:hAnsi="Calibri" w:cs="Calibri"/>
                <w:sz w:val="20"/>
              </w:rPr>
              <w:t>link_ok doğrulandı</w:t>
            </w:r>
          </w:p>
        </w:tc>
      </w:tr>
      <w:tr>
        <w:trPr>
          <w:cantSplit/>
        </w:trPr>
        <w:tc>
          <w:tcPr>
            <w:tcW w:type="dxa" w:w="454"/>
            <w:shd w:val="clear" w:color="auto" w:fill="F2F6FA"/>
          </w:tcPr>
          <w:p>
            <w:pPr>
              <w:spacing w:line="264" w:lineRule="auto"/>
            </w:pPr>
            <w:r/>
            <w:r>
              <w:rPr>
                <w:rFonts w:ascii="Calibri" w:hAnsi="Calibri" w:cs="Calibri"/>
                <w:sz w:val="20"/>
              </w:rPr>
              <w:t>4</w:t>
            </w:r>
          </w:p>
        </w:tc>
        <w:tc>
          <w:tcPr>
            <w:tcW w:type="dxa" w:w="2948"/>
            <w:shd w:val="clear" w:color="auto" w:fill="F2F6FA"/>
          </w:tcPr>
          <w:p>
            <w:pPr>
              <w:spacing w:line="264" w:lineRule="auto"/>
            </w:pPr>
            <w:r/>
            <w:r>
              <w:rPr>
                <w:rFonts w:ascii="Calibri" w:hAnsi="Calibri" w:cs="Calibri"/>
                <w:sz w:val="20"/>
              </w:rPr>
              <w:t>Bağlantı kaybı (0,8 sn eşik)</w:t>
            </w:r>
          </w:p>
        </w:tc>
        <w:tc>
          <w:tcPr>
            <w:tcW w:type="dxa" w:w="2721"/>
            <w:shd w:val="clear" w:color="auto" w:fill="F2F6FA"/>
          </w:tcPr>
          <w:p>
            <w:pPr>
              <w:spacing w:line="264" w:lineRule="auto"/>
            </w:pPr>
            <w:r/>
            <w:r>
              <w:rPr>
                <w:rFonts w:ascii="Calibri" w:hAnsi="Calibri" w:cs="Calibri"/>
                <w:sz w:val="20"/>
              </w:rPr>
              <w:t>Güvenli-durma; rota önbellekte kalır</w:t>
            </w:r>
          </w:p>
        </w:tc>
        <w:tc>
          <w:tcPr>
            <w:tcW w:type="dxa" w:w="3345"/>
            <w:shd w:val="clear" w:color="auto" w:fill="F2F6FA"/>
          </w:tcPr>
          <w:p>
            <w:pPr>
              <w:spacing w:line="264" w:lineRule="auto"/>
            </w:pPr>
            <w:r/>
            <w:r>
              <w:rPr>
                <w:rFonts w:ascii="Calibri" w:hAnsi="Calibri" w:cs="Calibri"/>
                <w:sz w:val="20"/>
              </w:rPr>
              <w:t>Güvenli-durma tetiklendi, rota korundu</w:t>
            </w:r>
          </w:p>
        </w:tc>
      </w:tr>
      <w:tr>
        <w:trPr>
          <w:cantSplit/>
        </w:trPr>
        <w:tc>
          <w:tcPr>
            <w:tcW w:type="dxa" w:w="454"/>
            <w:shd w:val="clear" w:color="auto" w:fill="F2F6FA"/>
          </w:tcPr>
          <w:p>
            <w:pPr>
              <w:spacing w:line="264" w:lineRule="auto"/>
            </w:pPr>
            <w:r/>
            <w:r>
              <w:rPr>
                <w:rFonts w:ascii="Calibri" w:hAnsi="Calibri" w:cs="Calibri"/>
                <w:sz w:val="20"/>
              </w:rPr>
              <w:t>5</w:t>
            </w:r>
          </w:p>
        </w:tc>
        <w:tc>
          <w:tcPr>
            <w:tcW w:type="dxa" w:w="2948"/>
            <w:shd w:val="clear" w:color="auto" w:fill="F2F6FA"/>
          </w:tcPr>
          <w:p>
            <w:pPr>
              <w:spacing w:line="264" w:lineRule="auto"/>
            </w:pPr>
            <w:r/>
            <w:r>
              <w:rPr>
                <w:rFonts w:ascii="Calibri" w:hAnsi="Calibri" w:cs="Calibri"/>
                <w:sz w:val="20"/>
              </w:rPr>
              <w:t>Bağlantı toparlanması</w:t>
            </w:r>
          </w:p>
        </w:tc>
        <w:tc>
          <w:tcPr>
            <w:tcW w:type="dxa" w:w="2721"/>
            <w:shd w:val="clear" w:color="auto" w:fill="F2F6FA"/>
          </w:tcPr>
          <w:p>
            <w:pPr>
              <w:spacing w:line="264" w:lineRule="auto"/>
            </w:pPr>
            <w:r/>
            <w:r>
              <w:rPr>
                <w:rFonts w:ascii="Calibri" w:hAnsi="Calibri" w:cs="Calibri"/>
                <w:sz w:val="20"/>
              </w:rPr>
              <w:t>Kaldığı waypoint'ten devam</w:t>
            </w:r>
          </w:p>
        </w:tc>
        <w:tc>
          <w:tcPr>
            <w:tcW w:type="dxa" w:w="3345"/>
            <w:shd w:val="clear" w:color="auto" w:fill="F2F6FA"/>
          </w:tcPr>
          <w:p>
            <w:pPr>
              <w:spacing w:line="264" w:lineRule="auto"/>
            </w:pPr>
            <w:r/>
            <w:r>
              <w:rPr>
                <w:rFonts w:ascii="Calibri" w:hAnsi="Calibri" w:cs="Calibri"/>
                <w:sz w:val="20"/>
              </w:rPr>
              <w:t>Toparlanma doğrulandı</w:t>
            </w:r>
          </w:p>
        </w:tc>
      </w:tr>
    </w:tbl>
    <w:p>
      <w:pPr>
        <w:spacing w:line="276" w:lineRule="auto"/>
        <w:jc w:val="center"/>
      </w:pPr>
      <w:r>
        <w:rPr>
          <w:rFonts w:ascii="Calibri" w:hAnsi="Calibri" w:cs="Calibri"/>
          <w:b/>
          <w:sz w:val="22"/>
        </w:rPr>
        <w:t>Tablo 4.2. Haberleşme protokolü entegrasyon testi — adımlar ve gözlenen sonuçlar (GEÇTİ)</w:t>
      </w:r>
    </w:p>
    <w:p>
      <w:pPr>
        <w:spacing w:line="276" w:lineRule="auto"/>
        <w:jc w:val="both"/>
      </w:pPr>
      <w:r>
        <w:rPr>
          <w:rFonts w:ascii="Calibri" w:hAnsi="Calibri" w:cs="Calibri"/>
          <w:b/>
          <w:sz w:val="22"/>
        </w:rPr>
        <w:t xml:space="preserve">Saha Görüntüsüyle Uçtan Uca Çalışma Testi. </w:t>
      </w:r>
      <w:r>
        <w:rPr>
          <w:rFonts w:ascii="Calibri" w:hAnsi="Calibri" w:cs="Calibri"/>
          <w:b w:val="0"/>
          <w:sz w:val="22"/>
        </w:rPr>
        <w:t>Görüntü işleme hattının, sentetik olmayan gerçek saha görüntüsü üzerinde uçtan uca (segmentasyon → açık-yol kararı → sürüş koridoru ve waypoint üretimi) hatasız çalıştığını göstermek amacıyla, saha koşullarında kaydedilmiş üç video üzerinde çıkarım koşulmuştur (Tablo 4.3). Pipeline her üç kayıtta da kararlı biçimde çalışmış; açık-yol tespiti ve sürüş koridoru üretimini gerçekleştirmiştir (örnek çıktı Şekil 4.1). Bu faaliyet, hattın gerçek veriyle işlevselliğini kanıtlayan bir yer testi (smoke test) niteliğindedir; sahne başına gerçek-referans (ground-truth) etiketi içermediğinden bir doğruluk (accuracy) ölçümü değildir. Etiketli doğruluk ölçümü, planlanan test programında (Tablo 4.5) ayrıca tanımlanmıştır.</w:t>
      </w:r>
    </w:p>
    <w:tbl>
      <w:tblPr>
        <w:tblStyle w:val="Table1"/>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8"/>
        <w:gridCol w:w="1568"/>
        <w:gridCol w:w="1568"/>
        <w:gridCol w:w="1568"/>
        <w:gridCol w:w="1568"/>
        <w:gridCol w:w="1568"/>
      </w:tblGrid>
      <w:tr>
        <w:tc>
          <w:tcPr>
            <w:tcW w:type="dxa" w:w="2948"/>
            <w:shd w:val="clear" w:color="auto" w:fill="1F3864"/>
          </w:tcPr>
          <w:p>
            <w:pPr>
              <w:jc w:val="center"/>
            </w:pPr>
            <w:r/>
            <w:r>
              <w:rPr>
                <w:rFonts w:ascii="Calibri" w:hAnsi="Calibri" w:cs="Calibri"/>
                <w:b/>
                <w:color w:val="FFFFFF"/>
                <w:sz w:val="20"/>
              </w:rPr>
              <w:t>Video Kaydı</w:t>
            </w:r>
          </w:p>
        </w:tc>
        <w:tc>
          <w:tcPr>
            <w:tcW w:type="dxa" w:w="1474"/>
            <w:shd w:val="clear" w:color="auto" w:fill="1F3864"/>
          </w:tcPr>
          <w:p>
            <w:pPr>
              <w:jc w:val="center"/>
            </w:pPr>
            <w:r/>
            <w:r>
              <w:rPr>
                <w:rFonts w:ascii="Calibri" w:hAnsi="Calibri" w:cs="Calibri"/>
                <w:b/>
                <w:color w:val="FFFFFF"/>
                <w:sz w:val="20"/>
              </w:rPr>
              <w:t>İşlenen Kare</w:t>
            </w:r>
          </w:p>
        </w:tc>
        <w:tc>
          <w:tcPr>
            <w:tcW w:type="dxa" w:w="1077"/>
            <w:shd w:val="clear" w:color="auto" w:fill="1F3864"/>
          </w:tcPr>
          <w:p>
            <w:pPr>
              <w:jc w:val="center"/>
            </w:pPr>
            <w:r/>
            <w:r>
              <w:rPr>
                <w:rFonts w:ascii="Calibri" w:hAnsi="Calibri" w:cs="Calibri"/>
                <w:b/>
                <w:color w:val="FFFFFF"/>
                <w:sz w:val="20"/>
              </w:rPr>
              <w:t>Sol</w:t>
            </w:r>
          </w:p>
        </w:tc>
        <w:tc>
          <w:tcPr>
            <w:tcW w:type="dxa" w:w="1077"/>
            <w:shd w:val="clear" w:color="auto" w:fill="1F3864"/>
          </w:tcPr>
          <w:p>
            <w:pPr>
              <w:jc w:val="center"/>
            </w:pPr>
            <w:r/>
            <w:r>
              <w:rPr>
                <w:rFonts w:ascii="Calibri" w:hAnsi="Calibri" w:cs="Calibri"/>
                <w:b/>
                <w:color w:val="FFFFFF"/>
                <w:sz w:val="20"/>
              </w:rPr>
              <w:t>Orta</w:t>
            </w:r>
          </w:p>
        </w:tc>
        <w:tc>
          <w:tcPr>
            <w:tcW w:type="dxa" w:w="1077"/>
            <w:shd w:val="clear" w:color="auto" w:fill="1F3864"/>
          </w:tcPr>
          <w:p>
            <w:pPr>
              <w:jc w:val="center"/>
            </w:pPr>
            <w:r/>
            <w:r>
              <w:rPr>
                <w:rFonts w:ascii="Calibri" w:hAnsi="Calibri" w:cs="Calibri"/>
                <w:b/>
                <w:color w:val="FFFFFF"/>
                <w:sz w:val="20"/>
              </w:rPr>
              <w:t>Sağ</w:t>
            </w:r>
          </w:p>
        </w:tc>
        <w:tc>
          <w:tcPr>
            <w:tcW w:type="dxa" w:w="1531"/>
            <w:shd w:val="clear" w:color="auto" w:fill="1F3864"/>
          </w:tcPr>
          <w:p>
            <w:pPr>
              <w:jc w:val="center"/>
            </w:pPr>
            <w:r/>
            <w:r>
              <w:rPr>
                <w:rFonts w:ascii="Calibri" w:hAnsi="Calibri" w:cs="Calibri"/>
                <w:b/>
                <w:color w:val="FFFFFF"/>
                <w:sz w:val="20"/>
              </w:rPr>
              <w:t>Tespit Yok</w:t>
            </w:r>
          </w:p>
        </w:tc>
      </w:tr>
      <w:tr>
        <w:trPr>
          <w:cantSplit/>
        </w:trPr>
        <w:tc>
          <w:tcPr>
            <w:tcW w:type="dxa" w:w="2948"/>
            <w:shd w:val="clear" w:color="auto" w:fill="F2F6FA"/>
          </w:tcPr>
          <w:p>
            <w:pPr>
              <w:spacing w:line="264" w:lineRule="auto"/>
            </w:pPr>
            <w:r/>
            <w:r>
              <w:rPr>
                <w:rFonts w:ascii="Calibri" w:hAnsi="Calibri" w:cs="Calibri"/>
                <w:sz w:val="20"/>
              </w:rPr>
              <w:t>Kayıt 1 (REC_1783693809)</w:t>
            </w:r>
          </w:p>
        </w:tc>
        <w:tc>
          <w:tcPr>
            <w:tcW w:type="dxa" w:w="1474"/>
            <w:shd w:val="clear" w:color="auto" w:fill="F2F6FA"/>
          </w:tcPr>
          <w:p>
            <w:pPr>
              <w:spacing w:line="264" w:lineRule="auto"/>
            </w:pPr>
            <w:r/>
            <w:r>
              <w:rPr>
                <w:rFonts w:ascii="Calibri" w:hAnsi="Calibri" w:cs="Calibri"/>
                <w:sz w:val="20"/>
              </w:rPr>
              <w:t>10.447</w:t>
            </w:r>
          </w:p>
        </w:tc>
        <w:tc>
          <w:tcPr>
            <w:tcW w:type="dxa" w:w="1077"/>
            <w:shd w:val="clear" w:color="auto" w:fill="F2F6FA"/>
          </w:tcPr>
          <w:p>
            <w:pPr>
              <w:spacing w:line="264" w:lineRule="auto"/>
            </w:pPr>
            <w:r/>
            <w:r>
              <w:rPr>
                <w:rFonts w:ascii="Calibri" w:hAnsi="Calibri" w:cs="Calibri"/>
                <w:sz w:val="20"/>
              </w:rPr>
              <w:t>258</w:t>
            </w:r>
          </w:p>
        </w:tc>
        <w:tc>
          <w:tcPr>
            <w:tcW w:type="dxa" w:w="1077"/>
            <w:shd w:val="clear" w:color="auto" w:fill="F2F6FA"/>
          </w:tcPr>
          <w:p>
            <w:pPr>
              <w:spacing w:line="264" w:lineRule="auto"/>
            </w:pPr>
            <w:r/>
            <w:r>
              <w:rPr>
                <w:rFonts w:ascii="Calibri" w:hAnsi="Calibri" w:cs="Calibri"/>
                <w:sz w:val="20"/>
              </w:rPr>
              <w:t>616</w:t>
            </w:r>
          </w:p>
        </w:tc>
        <w:tc>
          <w:tcPr>
            <w:tcW w:type="dxa" w:w="1077"/>
            <w:shd w:val="clear" w:color="auto" w:fill="F2F6FA"/>
          </w:tcPr>
          <w:p>
            <w:pPr>
              <w:spacing w:line="264" w:lineRule="auto"/>
            </w:pPr>
            <w:r/>
            <w:r>
              <w:rPr>
                <w:rFonts w:ascii="Calibri" w:hAnsi="Calibri" w:cs="Calibri"/>
                <w:sz w:val="20"/>
              </w:rPr>
              <w:t>637</w:t>
            </w:r>
          </w:p>
        </w:tc>
        <w:tc>
          <w:tcPr>
            <w:tcW w:type="dxa" w:w="1531"/>
            <w:shd w:val="clear" w:color="auto" w:fill="F2F6FA"/>
          </w:tcPr>
          <w:p>
            <w:pPr>
              <w:spacing w:line="264" w:lineRule="auto"/>
            </w:pPr>
            <w:r/>
            <w:r>
              <w:rPr>
                <w:rFonts w:ascii="Calibri" w:hAnsi="Calibri" w:cs="Calibri"/>
                <w:sz w:val="20"/>
              </w:rPr>
              <w:t>8.936</w:t>
            </w:r>
          </w:p>
        </w:tc>
      </w:tr>
      <w:tr>
        <w:trPr>
          <w:cantSplit/>
        </w:trPr>
        <w:tc>
          <w:tcPr>
            <w:tcW w:type="dxa" w:w="2948"/>
            <w:shd w:val="clear" w:color="auto" w:fill="F2F6FA"/>
          </w:tcPr>
          <w:p>
            <w:pPr>
              <w:spacing w:line="264" w:lineRule="auto"/>
            </w:pPr>
            <w:r/>
            <w:r>
              <w:rPr>
                <w:rFonts w:ascii="Calibri" w:hAnsi="Calibri" w:cs="Calibri"/>
                <w:sz w:val="20"/>
              </w:rPr>
              <w:t>Kayıt 2 (WhatsApp 2.23)</w:t>
            </w:r>
          </w:p>
        </w:tc>
        <w:tc>
          <w:tcPr>
            <w:tcW w:type="dxa" w:w="1474"/>
            <w:shd w:val="clear" w:color="auto" w:fill="F2F6FA"/>
          </w:tcPr>
          <w:p>
            <w:pPr>
              <w:spacing w:line="264" w:lineRule="auto"/>
            </w:pPr>
            <w:r/>
            <w:r>
              <w:rPr>
                <w:rFonts w:ascii="Calibri" w:hAnsi="Calibri" w:cs="Calibri"/>
                <w:sz w:val="20"/>
              </w:rPr>
              <w:t>69</w:t>
            </w:r>
          </w:p>
        </w:tc>
        <w:tc>
          <w:tcPr>
            <w:tcW w:type="dxa" w:w="1077"/>
            <w:shd w:val="clear" w:color="auto" w:fill="F2F6FA"/>
          </w:tcPr>
          <w:p>
            <w:pPr>
              <w:spacing w:line="264" w:lineRule="auto"/>
            </w:pPr>
            <w:r/>
            <w:r>
              <w:rPr>
                <w:rFonts w:ascii="Calibri" w:hAnsi="Calibri" w:cs="Calibri"/>
                <w:sz w:val="20"/>
              </w:rPr>
              <w:t>19</w:t>
            </w:r>
          </w:p>
        </w:tc>
        <w:tc>
          <w:tcPr>
            <w:tcW w:type="dxa" w:w="1077"/>
            <w:shd w:val="clear" w:color="auto" w:fill="F2F6FA"/>
          </w:tcPr>
          <w:p>
            <w:pPr>
              <w:spacing w:line="264" w:lineRule="auto"/>
            </w:pPr>
            <w:r/>
            <w:r>
              <w:rPr>
                <w:rFonts w:ascii="Calibri" w:hAnsi="Calibri" w:cs="Calibri"/>
                <w:sz w:val="20"/>
              </w:rPr>
              <w:t>9</w:t>
            </w:r>
          </w:p>
        </w:tc>
        <w:tc>
          <w:tcPr>
            <w:tcW w:type="dxa" w:w="1077"/>
            <w:shd w:val="clear" w:color="auto" w:fill="F2F6FA"/>
          </w:tcPr>
          <w:p>
            <w:pPr>
              <w:spacing w:line="264" w:lineRule="auto"/>
            </w:pPr>
            <w:r/>
            <w:r>
              <w:rPr>
                <w:rFonts w:ascii="Calibri" w:hAnsi="Calibri" w:cs="Calibri"/>
                <w:sz w:val="20"/>
              </w:rPr>
              <w:t>21</w:t>
            </w:r>
          </w:p>
        </w:tc>
        <w:tc>
          <w:tcPr>
            <w:tcW w:type="dxa" w:w="1531"/>
            <w:shd w:val="clear" w:color="auto" w:fill="F2F6FA"/>
          </w:tcPr>
          <w:p>
            <w:pPr>
              <w:spacing w:line="264" w:lineRule="auto"/>
            </w:pPr>
            <w:r/>
            <w:r>
              <w:rPr>
                <w:rFonts w:ascii="Calibri" w:hAnsi="Calibri" w:cs="Calibri"/>
                <w:sz w:val="20"/>
              </w:rPr>
              <w:t>20</w:t>
            </w:r>
          </w:p>
        </w:tc>
      </w:tr>
      <w:tr>
        <w:trPr>
          <w:cantSplit/>
        </w:trPr>
        <w:tc>
          <w:tcPr>
            <w:tcW w:type="dxa" w:w="2948"/>
            <w:shd w:val="clear" w:color="auto" w:fill="F2F6FA"/>
          </w:tcPr>
          <w:p>
            <w:pPr>
              <w:spacing w:line="264" w:lineRule="auto"/>
            </w:pPr>
            <w:r/>
            <w:r>
              <w:rPr>
                <w:rFonts w:ascii="Calibri" w:hAnsi="Calibri" w:cs="Calibri"/>
                <w:sz w:val="20"/>
              </w:rPr>
              <w:t>Kayıt 3 (WhatsApp 4.56)</w:t>
            </w:r>
          </w:p>
        </w:tc>
        <w:tc>
          <w:tcPr>
            <w:tcW w:type="dxa" w:w="1474"/>
            <w:shd w:val="clear" w:color="auto" w:fill="F2F6FA"/>
          </w:tcPr>
          <w:p>
            <w:pPr>
              <w:spacing w:line="264" w:lineRule="auto"/>
            </w:pPr>
            <w:r/>
            <w:r>
              <w:rPr>
                <w:rFonts w:ascii="Calibri" w:hAnsi="Calibri" w:cs="Calibri"/>
                <w:sz w:val="20"/>
              </w:rPr>
              <w:t>9.532</w:t>
            </w:r>
          </w:p>
        </w:tc>
        <w:tc>
          <w:tcPr>
            <w:tcW w:type="dxa" w:w="1077"/>
            <w:shd w:val="clear" w:color="auto" w:fill="F2F6FA"/>
          </w:tcPr>
          <w:p>
            <w:pPr>
              <w:spacing w:line="264" w:lineRule="auto"/>
            </w:pPr>
            <w:r/>
            <w:r>
              <w:rPr>
                <w:rFonts w:ascii="Calibri" w:hAnsi="Calibri" w:cs="Calibri"/>
                <w:sz w:val="20"/>
              </w:rPr>
              <w:t>867</w:t>
            </w:r>
          </w:p>
        </w:tc>
        <w:tc>
          <w:tcPr>
            <w:tcW w:type="dxa" w:w="1077"/>
            <w:shd w:val="clear" w:color="auto" w:fill="F2F6FA"/>
          </w:tcPr>
          <w:p>
            <w:pPr>
              <w:spacing w:line="264" w:lineRule="auto"/>
            </w:pPr>
            <w:r/>
            <w:r>
              <w:rPr>
                <w:rFonts w:ascii="Calibri" w:hAnsi="Calibri" w:cs="Calibri"/>
                <w:sz w:val="20"/>
              </w:rPr>
              <w:t>3.143</w:t>
            </w:r>
          </w:p>
        </w:tc>
        <w:tc>
          <w:tcPr>
            <w:tcW w:type="dxa" w:w="1077"/>
            <w:shd w:val="clear" w:color="auto" w:fill="F2F6FA"/>
          </w:tcPr>
          <w:p>
            <w:pPr>
              <w:spacing w:line="264" w:lineRule="auto"/>
            </w:pPr>
            <w:r/>
            <w:r>
              <w:rPr>
                <w:rFonts w:ascii="Calibri" w:hAnsi="Calibri" w:cs="Calibri"/>
                <w:sz w:val="20"/>
              </w:rPr>
              <w:t>2.381</w:t>
            </w:r>
          </w:p>
        </w:tc>
        <w:tc>
          <w:tcPr>
            <w:tcW w:type="dxa" w:w="1531"/>
            <w:shd w:val="clear" w:color="auto" w:fill="F2F6FA"/>
          </w:tcPr>
          <w:p>
            <w:pPr>
              <w:spacing w:line="264" w:lineRule="auto"/>
            </w:pPr>
            <w:r/>
            <w:r>
              <w:rPr>
                <w:rFonts w:ascii="Calibri" w:hAnsi="Calibri" w:cs="Calibri"/>
                <w:sz w:val="20"/>
              </w:rPr>
              <w:t>3.141</w:t>
            </w:r>
          </w:p>
        </w:tc>
      </w:tr>
    </w:tbl>
    <w:p>
      <w:pPr>
        <w:spacing w:line="276" w:lineRule="auto"/>
        <w:jc w:val="center"/>
      </w:pPr>
      <w:r>
        <w:rPr>
          <w:rFonts w:ascii="Calibri" w:hAnsi="Calibri" w:cs="Calibri"/>
          <w:b/>
          <w:sz w:val="22"/>
        </w:rPr>
        <w:t>Tablo 4.3. Saha video yer testi — karar dağılımı</w:t>
      </w:r>
    </w:p>
    <w:p>
      <w:pPr>
        <w:jc w:val="center"/>
        <w:keepNext/>
      </w:pPr>
      <w:r>
        <w:drawing>
          <wp:inline>
            <wp:extent cx="4680000" cy="2632500"/>
            <wp:docPr id="1" name="Picture 1"/>
            <wp:cNvGraphicFramePr>
              <a:graphicFrameLocks noChangeAspect="1"/>
            </wp:cNvGraphicFramePr>
            <a:graphic>
              <a:graphicData uri="http://schemas.openxmlformats.org/drawingml/2006/picture">
                <pic:pic>
                  <pic:nvPicPr>
                    <pic:cNvPr id="0" name="2_algi.jpg"/>
                    <pic:cNvPicPr/>
                  </pic:nvPicPr>
                  <pic:blipFill>
                    <a:blip r:embed="rId24"/>
                    <a:stretch>
                      <a:fillRect/>
                    </a:stretch>
                  </pic:blipFill>
                  <pic:spPr>
                    <a:xfrm>
                      <a:off x="0" y="0"/>
                      <a:ext cx="4680000" cy="2632500"/>
                    </a:xfrm>
                    <a:prstGeom prst="rect"/>
                  </pic:spPr>
                </pic:pic>
              </a:graphicData>
            </a:graphic>
          </wp:inline>
        </w:drawing>
      </w:r>
    </w:p>
    <w:p>
      <w:pPr>
        <w:spacing w:line="276" w:lineRule="auto"/>
        <w:jc w:val="center"/>
      </w:pPr>
      <w:r>
        <w:rPr>
          <w:rFonts w:ascii="Calibri" w:hAnsi="Calibri" w:cs="Calibri"/>
          <w:b/>
          <w:sz w:val="22"/>
        </w:rPr>
        <w:t>Şekil 4.1. Saha görüntüsü üzerinde örnek çıktı: açık-yol tespiti (ORTA, güven 0,62), geçilebilir (yeşil) / geçilemez moloz (kırmızı) segmentasyonu ve sürüş koridoru ile waypoint çıkarımı</w:t>
      </w:r>
    </w:p>
    <w:p>
      <w:pPr>
        <w:spacing w:line="276" w:lineRule="auto"/>
        <w:jc w:val="both"/>
      </w:pPr>
      <w:r>
        <w:rPr>
          <w:rFonts w:ascii="Calibri" w:hAnsi="Calibri" w:cs="Calibri"/>
          <w:b/>
          <w:sz w:val="22"/>
        </w:rPr>
        <w:t xml:space="preserve">Hakem Onayı ve §2.2.5 Kilit Mantığı Doğrulaması. </w:t>
      </w:r>
      <w:r>
        <w:rPr>
          <w:rFonts w:ascii="Calibri" w:hAnsi="Calibri" w:cs="Calibri"/>
          <w:b w:val="0"/>
          <w:sz w:val="22"/>
        </w:rPr>
        <w:t>YKS arayüzünde uygulanan iki aşamalı hakem onayı (madde 2.2.3 ve 6.2 — hakem onayı alınmayan tespitler geçersiz sayılır) ile İKA'nın İHA yere temas etmeden harekete geçmesini engelleyen yazılım kilidi (madde 2.2.5), manuel senaryo tatbikatıyla (demonstrasyon) fonksiyonel olarak doğrulanmıştır. Erken onay ve erken hareket denemeleri arayüz tarafından reddedilmiş; ACK yalnızca hakem onay adımına bağlı olarak dönmüş; §2.2.5 kilidi yalnızca İHA inişi tamamlandıktan sonra açılmıştır.</w:t>
      </w:r>
    </w:p>
    <w:p>
      <w:pPr>
        <w:spacing w:line="276" w:lineRule="auto"/>
        <w:jc w:val="both"/>
      </w:pPr>
      <w:r>
        <w:rPr>
          <w:rFonts w:ascii="Calibri" w:hAnsi="Calibri" w:cs="Calibri"/>
          <w:b/>
          <w:sz w:val="22"/>
        </w:rPr>
        <w:t xml:space="preserve">Planlanan Test Faaliyetleri. </w:t>
      </w:r>
      <w:r>
        <w:rPr>
          <w:rFonts w:ascii="Calibri" w:hAnsi="Calibri" w:cs="Calibri"/>
          <w:b w:val="0"/>
          <w:sz w:val="22"/>
        </w:rPr>
        <w:t>Aşağıdaki test ve doğrulama faaliyetleri, DDR sonrası ve final değerlendirme/uçuş testi öncesi süreçte gerçekleştirilmek üzere planlanmıştır (Tablo 4.5):</w:t>
      </w:r>
    </w:p>
    <w:tbl>
      <w:tblPr>
        <w:tblStyle w:val="Table1"/>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608"/>
            <w:shd w:val="clear" w:color="auto" w:fill="1F3864"/>
          </w:tcPr>
          <w:p>
            <w:pPr>
              <w:jc w:val="center"/>
            </w:pPr>
            <w:r/>
            <w:r>
              <w:rPr>
                <w:rFonts w:ascii="Calibri" w:hAnsi="Calibri" w:cs="Calibri"/>
                <w:b/>
                <w:color w:val="FFFFFF"/>
                <w:sz w:val="20"/>
              </w:rPr>
              <w:t>Planlanan Test</w:t>
            </w:r>
          </w:p>
        </w:tc>
        <w:tc>
          <w:tcPr>
            <w:tcW w:type="dxa" w:w="3515"/>
            <w:shd w:val="clear" w:color="auto" w:fill="1F3864"/>
          </w:tcPr>
          <w:p>
            <w:pPr>
              <w:jc w:val="center"/>
            </w:pPr>
            <w:r/>
            <w:r>
              <w:rPr>
                <w:rFonts w:ascii="Calibri" w:hAnsi="Calibri" w:cs="Calibri"/>
                <w:b/>
                <w:color w:val="FFFFFF"/>
                <w:sz w:val="20"/>
              </w:rPr>
              <w:t>Amaç / Başarı Kriteri</w:t>
            </w:r>
          </w:p>
        </w:tc>
        <w:tc>
          <w:tcPr>
            <w:tcW w:type="dxa" w:w="1701"/>
            <w:shd w:val="clear" w:color="auto" w:fill="1F3864"/>
          </w:tcPr>
          <w:p>
            <w:pPr>
              <w:jc w:val="center"/>
            </w:pPr>
            <w:r/>
            <w:r>
              <w:rPr>
                <w:rFonts w:ascii="Calibri" w:hAnsi="Calibri" w:cs="Calibri"/>
                <w:b/>
                <w:color w:val="FFFFFF"/>
                <w:sz w:val="20"/>
              </w:rPr>
              <w:t>Hedef Aşama</w:t>
            </w:r>
          </w:p>
        </w:tc>
        <w:tc>
          <w:tcPr>
            <w:tcW w:type="dxa" w:w="1474"/>
            <w:shd w:val="clear" w:color="auto" w:fill="1F3864"/>
          </w:tcPr>
          <w:p>
            <w:pPr>
              <w:jc w:val="center"/>
            </w:pPr>
            <w:r/>
            <w:r>
              <w:rPr>
                <w:rFonts w:ascii="Calibri" w:hAnsi="Calibri" w:cs="Calibri"/>
                <w:b/>
                <w:color w:val="FFFFFF"/>
                <w:sz w:val="20"/>
              </w:rPr>
              <w:t>İlgili Ger.</w:t>
            </w:r>
          </w:p>
        </w:tc>
      </w:tr>
      <w:tr>
        <w:trPr>
          <w:cantSplit/>
        </w:trPr>
        <w:tc>
          <w:tcPr>
            <w:tcW w:type="dxa" w:w="2608"/>
            <w:shd w:val="clear" w:color="auto" w:fill="F2F6FA"/>
          </w:tcPr>
          <w:p>
            <w:pPr>
              <w:spacing w:line="264" w:lineRule="auto"/>
            </w:pPr>
            <w:r/>
            <w:r>
              <w:rPr>
                <w:rFonts w:ascii="Calibri" w:hAnsi="Calibri" w:cs="Calibri"/>
                <w:sz w:val="20"/>
              </w:rPr>
              <w:t>Jetson Orin NX TensorRT hız benchmarkı</w:t>
            </w:r>
          </w:p>
        </w:tc>
        <w:tc>
          <w:tcPr>
            <w:tcW w:type="dxa" w:w="3515"/>
            <w:shd w:val="clear" w:color="auto" w:fill="F2F6FA"/>
          </w:tcPr>
          <w:p>
            <w:pPr>
              <w:spacing w:line="264" w:lineRule="auto"/>
            </w:pPr>
            <w:r/>
            <w:r>
              <w:rPr>
                <w:rFonts w:ascii="Calibri" w:hAnsi="Calibri" w:cs="Calibri"/>
                <w:sz w:val="20"/>
              </w:rPr>
              <w:t>p50/p95/p99 gecikme; 15+ dk termal kararlılık</w:t>
            </w:r>
          </w:p>
        </w:tc>
        <w:tc>
          <w:tcPr>
            <w:tcW w:type="dxa" w:w="1701"/>
            <w:shd w:val="clear" w:color="auto" w:fill="F2F6FA"/>
          </w:tcPr>
          <w:p>
            <w:pPr>
              <w:spacing w:line="264" w:lineRule="auto"/>
            </w:pPr>
            <w:r/>
            <w:r>
              <w:rPr>
                <w:rFonts w:ascii="Calibri" w:hAnsi="Calibri" w:cs="Calibri"/>
                <w:sz w:val="20"/>
              </w:rPr>
              <w:t>SGGS öncesi</w:t>
            </w:r>
          </w:p>
        </w:tc>
        <w:tc>
          <w:tcPr>
            <w:tcW w:type="dxa" w:w="1474"/>
            <w:shd w:val="clear" w:color="auto" w:fill="F2F6FA"/>
          </w:tcPr>
          <w:p>
            <w:pPr>
              <w:spacing w:line="264" w:lineRule="auto"/>
            </w:pPr>
            <w:r/>
            <w:r>
              <w:rPr>
                <w:rFonts w:ascii="Calibri" w:hAnsi="Calibri" w:cs="Calibri"/>
                <w:sz w:val="20"/>
              </w:rPr>
              <w:t>G-SW-10</w:t>
            </w:r>
          </w:p>
        </w:tc>
      </w:tr>
      <w:tr>
        <w:trPr>
          <w:cantSplit/>
        </w:trPr>
        <w:tc>
          <w:tcPr>
            <w:tcW w:type="dxa" w:w="2608"/>
            <w:shd w:val="clear" w:color="auto" w:fill="F2F6FA"/>
          </w:tcPr>
          <w:p>
            <w:pPr>
              <w:spacing w:line="264" w:lineRule="auto"/>
            </w:pPr>
            <w:r/>
            <w:r>
              <w:rPr>
                <w:rFonts w:ascii="Calibri" w:hAnsi="Calibri" w:cs="Calibri"/>
                <w:sz w:val="20"/>
              </w:rPr>
              <w:t>Etiketli görev doğruluk testi</w:t>
            </w:r>
          </w:p>
        </w:tc>
        <w:tc>
          <w:tcPr>
            <w:tcW w:type="dxa" w:w="3515"/>
            <w:shd w:val="clear" w:color="auto" w:fill="F2F6FA"/>
          </w:tcPr>
          <w:p>
            <w:pPr>
              <w:spacing w:line="264" w:lineRule="auto"/>
            </w:pPr>
            <w:r/>
            <w:r>
              <w:rPr>
                <w:rFonts w:ascii="Calibri" w:hAnsi="Calibri" w:cs="Calibri"/>
                <w:sz w:val="20"/>
              </w:rPr>
              <w:t>Açık-yol accuracy, macro-F1, 'tespit yok' oranı</w:t>
            </w:r>
          </w:p>
        </w:tc>
        <w:tc>
          <w:tcPr>
            <w:tcW w:type="dxa" w:w="1701"/>
            <w:shd w:val="clear" w:color="auto" w:fill="F2F6FA"/>
          </w:tcPr>
          <w:p>
            <w:pPr>
              <w:spacing w:line="264" w:lineRule="auto"/>
            </w:pPr>
            <w:r/>
            <w:r>
              <w:rPr>
                <w:rFonts w:ascii="Calibri" w:hAnsi="Calibri" w:cs="Calibri"/>
                <w:sz w:val="20"/>
              </w:rPr>
              <w:t>SGGS öncesi</w:t>
            </w:r>
          </w:p>
        </w:tc>
        <w:tc>
          <w:tcPr>
            <w:tcW w:type="dxa" w:w="1474"/>
            <w:shd w:val="clear" w:color="auto" w:fill="F2F6FA"/>
          </w:tcPr>
          <w:p>
            <w:pPr>
              <w:spacing w:line="264" w:lineRule="auto"/>
            </w:pPr>
            <w:r/>
            <w:r>
              <w:rPr>
                <w:rFonts w:ascii="Calibri" w:hAnsi="Calibri" w:cs="Calibri"/>
                <w:sz w:val="20"/>
              </w:rPr>
              <w:t>G-SW-01</w:t>
            </w:r>
          </w:p>
        </w:tc>
      </w:tr>
      <w:tr>
        <w:trPr>
          <w:cantSplit/>
        </w:trPr>
        <w:tc>
          <w:tcPr>
            <w:tcW w:type="dxa" w:w="2608"/>
            <w:shd w:val="clear" w:color="auto" w:fill="F2F6FA"/>
          </w:tcPr>
          <w:p>
            <w:pPr>
              <w:spacing w:line="264" w:lineRule="auto"/>
            </w:pPr>
            <w:r/>
            <w:r>
              <w:rPr>
                <w:rFonts w:ascii="Calibri" w:hAnsi="Calibri" w:cs="Calibri"/>
                <w:sz w:val="20"/>
              </w:rPr>
              <w:t>433 MHz saha RF menzil/güvenilirlik testi</w:t>
            </w:r>
          </w:p>
        </w:tc>
        <w:tc>
          <w:tcPr>
            <w:tcW w:type="dxa" w:w="3515"/>
            <w:shd w:val="clear" w:color="auto" w:fill="F2F6FA"/>
          </w:tcPr>
          <w:p>
            <w:pPr>
              <w:spacing w:line="264" w:lineRule="auto"/>
            </w:pPr>
            <w:r/>
            <w:r>
              <w:rPr>
                <w:rFonts w:ascii="Calibri" w:hAnsi="Calibri" w:cs="Calibri"/>
                <w:sz w:val="20"/>
              </w:rPr>
              <w:t>&gt;300 m menzil; aktarım doğruluğu</w:t>
            </w:r>
          </w:p>
        </w:tc>
        <w:tc>
          <w:tcPr>
            <w:tcW w:type="dxa" w:w="1701"/>
            <w:shd w:val="clear" w:color="auto" w:fill="F2F6FA"/>
          </w:tcPr>
          <w:p>
            <w:pPr>
              <w:spacing w:line="264" w:lineRule="auto"/>
            </w:pPr>
            <w:r/>
            <w:r>
              <w:rPr>
                <w:rFonts w:ascii="Calibri" w:hAnsi="Calibri" w:cs="Calibri"/>
                <w:sz w:val="20"/>
              </w:rPr>
              <w:t>UHDR öncesi</w:t>
            </w:r>
          </w:p>
        </w:tc>
        <w:tc>
          <w:tcPr>
            <w:tcW w:type="dxa" w:w="1474"/>
            <w:shd w:val="clear" w:color="auto" w:fill="F2F6FA"/>
          </w:tcPr>
          <w:p>
            <w:pPr>
              <w:spacing w:line="264" w:lineRule="auto"/>
            </w:pPr>
            <w:r/>
            <w:r>
              <w:rPr>
                <w:rFonts w:ascii="Calibri" w:hAnsi="Calibri" w:cs="Calibri"/>
                <w:sz w:val="20"/>
              </w:rPr>
              <w:t>G-SW-02, 06</w:t>
            </w:r>
          </w:p>
        </w:tc>
      </w:tr>
      <w:tr>
        <w:trPr>
          <w:cantSplit/>
        </w:trPr>
        <w:tc>
          <w:tcPr>
            <w:tcW w:type="dxa" w:w="2608"/>
            <w:shd w:val="clear" w:color="auto" w:fill="F2F6FA"/>
          </w:tcPr>
          <w:p>
            <w:pPr>
              <w:spacing w:line="264" w:lineRule="auto"/>
            </w:pPr>
            <w:r/>
            <w:r>
              <w:rPr>
                <w:rFonts w:ascii="Calibri" w:hAnsi="Calibri" w:cs="Calibri"/>
                <w:sz w:val="20"/>
              </w:rPr>
              <w:t>Gizli-seed uçtan-uca (E2E) simülasyon</w:t>
            </w:r>
          </w:p>
        </w:tc>
        <w:tc>
          <w:tcPr>
            <w:tcW w:type="dxa" w:w="3515"/>
            <w:shd w:val="clear" w:color="auto" w:fill="F2F6FA"/>
          </w:tcPr>
          <w:p>
            <w:pPr>
              <w:spacing w:line="264" w:lineRule="auto"/>
            </w:pPr>
            <w:r/>
            <w:r>
              <w:rPr>
                <w:rFonts w:ascii="Calibri" w:hAnsi="Calibri" w:cs="Calibri"/>
                <w:sz w:val="20"/>
              </w:rPr>
              <w:t>İKA gerçekten waypoint tüketir; ≥30 seed</w:t>
            </w:r>
          </w:p>
        </w:tc>
        <w:tc>
          <w:tcPr>
            <w:tcW w:type="dxa" w:w="1701"/>
            <w:shd w:val="clear" w:color="auto" w:fill="F2F6FA"/>
          </w:tcPr>
          <w:p>
            <w:pPr>
              <w:spacing w:line="264" w:lineRule="auto"/>
            </w:pPr>
            <w:r/>
            <w:r>
              <w:rPr>
                <w:rFonts w:ascii="Calibri" w:hAnsi="Calibri" w:cs="Calibri"/>
                <w:sz w:val="20"/>
              </w:rPr>
              <w:t>UHDR öncesi</w:t>
            </w:r>
          </w:p>
        </w:tc>
        <w:tc>
          <w:tcPr>
            <w:tcW w:type="dxa" w:w="1474"/>
            <w:shd w:val="clear" w:color="auto" w:fill="F2F6FA"/>
          </w:tcPr>
          <w:p>
            <w:pPr>
              <w:spacing w:line="264" w:lineRule="auto"/>
            </w:pPr>
            <w:r/>
            <w:r>
              <w:rPr>
                <w:rFonts w:ascii="Calibri" w:hAnsi="Calibri" w:cs="Calibri"/>
                <w:sz w:val="20"/>
              </w:rPr>
              <w:t>G-SW-10</w:t>
            </w:r>
          </w:p>
        </w:tc>
      </w:tr>
      <w:tr>
        <w:trPr>
          <w:cantSplit/>
        </w:trPr>
        <w:tc>
          <w:tcPr>
            <w:tcW w:type="dxa" w:w="2608"/>
            <w:shd w:val="clear" w:color="auto" w:fill="F2F6FA"/>
          </w:tcPr>
          <w:p>
            <w:pPr>
              <w:spacing w:line="264" w:lineRule="auto"/>
            </w:pPr>
            <w:r/>
            <w:r>
              <w:rPr>
                <w:rFonts w:ascii="Calibri" w:hAnsi="Calibri" w:cs="Calibri"/>
                <w:sz w:val="20"/>
              </w:rPr>
              <w:t>OPEN_ROUTE CRC16/hash + bit-hata testi</w:t>
            </w:r>
          </w:p>
        </w:tc>
        <w:tc>
          <w:tcPr>
            <w:tcW w:type="dxa" w:w="3515"/>
            <w:shd w:val="clear" w:color="auto" w:fill="F2F6FA"/>
          </w:tcPr>
          <w:p>
            <w:pPr>
              <w:spacing w:line="264" w:lineRule="auto"/>
            </w:pPr>
            <w:r/>
            <w:r>
              <w:rPr>
                <w:rFonts w:ascii="Calibri" w:hAnsi="Calibri" w:cs="Calibri"/>
                <w:sz w:val="20"/>
              </w:rPr>
              <w:t>Payload bütünlüğü ve sessiz-bozulma direnci</w:t>
            </w:r>
          </w:p>
        </w:tc>
        <w:tc>
          <w:tcPr>
            <w:tcW w:type="dxa" w:w="1701"/>
            <w:shd w:val="clear" w:color="auto" w:fill="F2F6FA"/>
          </w:tcPr>
          <w:p>
            <w:pPr>
              <w:spacing w:line="264" w:lineRule="auto"/>
            </w:pPr>
            <w:r/>
            <w:r>
              <w:rPr>
                <w:rFonts w:ascii="Calibri" w:hAnsi="Calibri" w:cs="Calibri"/>
                <w:sz w:val="20"/>
              </w:rPr>
              <w:t>FDR öncesi</w:t>
            </w:r>
          </w:p>
        </w:tc>
        <w:tc>
          <w:tcPr>
            <w:tcW w:type="dxa" w:w="1474"/>
            <w:shd w:val="clear" w:color="auto" w:fill="F2F6FA"/>
          </w:tcPr>
          <w:p>
            <w:pPr>
              <w:spacing w:line="264" w:lineRule="auto"/>
            </w:pPr>
            <w:r/>
            <w:r>
              <w:rPr>
                <w:rFonts w:ascii="Calibri" w:hAnsi="Calibri" w:cs="Calibri"/>
                <w:sz w:val="20"/>
              </w:rPr>
              <w:t>G-SW-07</w:t>
            </w:r>
          </w:p>
        </w:tc>
      </w:tr>
    </w:tbl>
    <w:p>
      <w:pPr>
        <w:spacing w:line="276" w:lineRule="auto"/>
        <w:jc w:val="center"/>
      </w:pPr>
      <w:r>
        <w:rPr>
          <w:rFonts w:ascii="Calibri" w:hAnsi="Calibri" w:cs="Calibri"/>
          <w:b/>
          <w:sz w:val="22"/>
        </w:rPr>
        <w:t>Tablo 4.5. Planlanan sonraki test faaliyetleri programı</w:t>
      </w:r>
    </w:p>
    <w:p>
      <w:pPr>
        <w:spacing w:line="276" w:lineRule="auto"/>
        <w:jc w:val="left"/>
      </w:pPr>
      <w:r>
        <w:rPr>
          <w:rFonts w:ascii="Calibri" w:hAnsi="Calibri" w:cs="Calibri"/>
          <w:b/>
          <w:sz w:val="22"/>
        </w:rPr>
        <w:t>Kaynakça</w:t>
      </w:r>
    </w:p>
    <w:p>
      <w:pPr>
        <w:spacing w:line="276" w:lineRule="auto"/>
        <w:jc w:val="left"/>
      </w:pPr>
      <w:r>
        <w:rPr>
          <w:rFonts w:ascii="Calibri" w:hAnsi="Calibri" w:cs="Calibri"/>
          <w:b w:val="0"/>
          <w:sz w:val="22"/>
        </w:rPr>
        <w:t>[1] Ultralytics YOLOv8 Dokümantasyonu, Ultralytics.</w:t>
      </w:r>
    </w:p>
    <w:p>
      <w:pPr>
        <w:spacing w:line="276" w:lineRule="auto"/>
        <w:jc w:val="left"/>
      </w:pPr>
      <w:r>
        <w:rPr>
          <w:rFonts w:ascii="Calibri" w:hAnsi="Calibri" w:cs="Calibri"/>
          <w:b w:val="0"/>
          <w:sz w:val="22"/>
        </w:rPr>
        <w:t>[2] RescueNet: A High Resolution UAV Semantic Segmentation Dataset for Natural Disaster Damage Assessment, RescueNet veri seti dokümantasyonu.</w:t>
      </w:r>
    </w:p>
    <w:p>
      <w:pPr>
        <w:spacing w:line="276" w:lineRule="auto"/>
        <w:jc w:val="left"/>
      </w:pPr>
      <w:r>
        <w:rPr>
          <w:rFonts w:ascii="Calibri" w:hAnsi="Calibri" w:cs="Calibri"/>
          <w:b w:val="0"/>
          <w:sz w:val="22"/>
        </w:rPr>
        <w:t>[3] navitas26/navitas GitHub deposu (private) — comms/test_comms.py; results/v4_dogrulama_20260715 (model kabul testi kanıtı).</w:t>
      </w:r>
    </w:p>
    <w:p>
      <w:r>
        <w:br w:type="page"/>
      </w:r>
    </w:p>
    <w:p>
      <w:pPr>
        <w:pStyle w:val="Heading1"/>
      </w:pPr>
      <w:r>
        <w:t>Bölüm 5. Gereksinim İzlenebilirliği ve Değerlendirme</w:t>
      </w:r>
    </w:p>
    <w:p>
      <w:pPr>
        <w:spacing w:line="276" w:lineRule="auto"/>
        <w:jc w:val="both"/>
      </w:pPr>
      <w:r>
        <w:rPr>
          <w:rFonts w:ascii="Calibri" w:hAnsi="Calibri" w:cs="Calibri"/>
          <w:b w:val="0"/>
          <w:sz w:val="22"/>
        </w:rPr>
        <w:t>Bu bölümde, yazılım/algı/haberleşme alt sistemlerine ilişkin gereksinimlerin sistem geliştirme süreci boyunca nasıl ele alındığı, hangi yöntemle doğrulandığı ve hangi seviyede karşılandığı sistematik ve izlenebilir biçimde sunulmaktadır. Doğrulama yaklaşımı, MoC (Means of Compliance) metodolojisi esas alınarak oluşturulmuş; her gereksinim, Tablo 5.1'de tanımlı yöntemlerden en az biriyle ilişkilendirilmiştir. Gereksinimler, şartnamenin ilgili maddelerinden (2.2.2–2.2.6, 6.2, 6.4) türetilmiştir.</w:t>
      </w:r>
    </w:p>
    <w:p>
      <w:pPr>
        <w:spacing w:line="276" w:lineRule="auto"/>
        <w:jc w:val="both"/>
      </w:pPr>
      <w:r>
        <w:rPr>
          <w:rFonts w:ascii="Calibri" w:hAnsi="Calibri" w:cs="Calibri"/>
          <w:b/>
          <w:sz w:val="22"/>
        </w:rPr>
        <w:t xml:space="preserve">Doğrulama Yöntemleri (MoC). </w:t>
      </w:r>
      <w:r>
        <w:rPr>
          <w:rFonts w:ascii="Calibri" w:hAnsi="Calibri" w:cs="Calibri"/>
          <w:b w:val="0"/>
          <w:sz w:val="22"/>
        </w:rPr>
        <w:t>Her gereksinim için, uygunluğun hangi kanıt türüyle gösterildiği aşağıdaki beş yöntemden biriyle (veya birkaçının bileşimiyle) belirtilmiştir (Tablo 5.1).</w:t>
      </w:r>
    </w:p>
    <w:tbl>
      <w:tblPr>
        <w:tblStyle w:val="Table1"/>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1304"/>
            <w:shd w:val="clear" w:color="auto" w:fill="1F3864"/>
          </w:tcPr>
          <w:p>
            <w:pPr>
              <w:jc w:val="center"/>
            </w:pPr>
            <w:r/>
            <w:r>
              <w:rPr>
                <w:rFonts w:ascii="Calibri" w:hAnsi="Calibri" w:cs="Calibri"/>
                <w:b/>
                <w:color w:val="FFFFFF"/>
                <w:sz w:val="20"/>
              </w:rPr>
              <w:t>MoC Kodu</w:t>
            </w:r>
          </w:p>
        </w:tc>
        <w:tc>
          <w:tcPr>
            <w:tcW w:type="dxa" w:w="1814"/>
            <w:shd w:val="clear" w:color="auto" w:fill="1F3864"/>
          </w:tcPr>
          <w:p>
            <w:pPr>
              <w:jc w:val="center"/>
            </w:pPr>
            <w:r/>
            <w:r>
              <w:rPr>
                <w:rFonts w:ascii="Calibri" w:hAnsi="Calibri" w:cs="Calibri"/>
                <w:b/>
                <w:color w:val="FFFFFF"/>
                <w:sz w:val="20"/>
              </w:rPr>
              <w:t>Yöntem</w:t>
            </w:r>
          </w:p>
        </w:tc>
        <w:tc>
          <w:tcPr>
            <w:tcW w:type="dxa" w:w="6180"/>
            <w:shd w:val="clear" w:color="auto" w:fill="1F3864"/>
          </w:tcPr>
          <w:p>
            <w:pPr>
              <w:jc w:val="center"/>
            </w:pPr>
            <w:r/>
            <w:r>
              <w:rPr>
                <w:rFonts w:ascii="Calibri" w:hAnsi="Calibri" w:cs="Calibri"/>
                <w:b/>
                <w:color w:val="FFFFFF"/>
                <w:sz w:val="20"/>
              </w:rPr>
              <w:t>Açıklama</w:t>
            </w:r>
          </w:p>
        </w:tc>
      </w:tr>
      <w:tr>
        <w:trPr>
          <w:cantSplit/>
        </w:trPr>
        <w:tc>
          <w:tcPr>
            <w:tcW w:type="dxa" w:w="1304"/>
            <w:shd w:val="clear" w:color="auto" w:fill="F2F6FA"/>
          </w:tcPr>
          <w:p>
            <w:pPr>
              <w:spacing w:line="264" w:lineRule="auto"/>
            </w:pPr>
            <w:r/>
            <w:r>
              <w:rPr>
                <w:rFonts w:ascii="Calibri" w:hAnsi="Calibri" w:cs="Calibri"/>
                <w:sz w:val="20"/>
              </w:rPr>
              <w:t>MoC-1</w:t>
            </w:r>
          </w:p>
        </w:tc>
        <w:tc>
          <w:tcPr>
            <w:tcW w:type="dxa" w:w="1814"/>
            <w:shd w:val="clear" w:color="auto" w:fill="F2F6FA"/>
          </w:tcPr>
          <w:p>
            <w:pPr>
              <w:spacing w:line="264" w:lineRule="auto"/>
            </w:pPr>
            <w:r/>
            <w:r>
              <w:rPr>
                <w:rFonts w:ascii="Calibri" w:hAnsi="Calibri" w:cs="Calibri"/>
                <w:sz w:val="20"/>
              </w:rPr>
              <w:t>Analiz</w:t>
            </w:r>
          </w:p>
        </w:tc>
        <w:tc>
          <w:tcPr>
            <w:tcW w:type="dxa" w:w="6180"/>
            <w:shd w:val="clear" w:color="auto" w:fill="F2F6FA"/>
          </w:tcPr>
          <w:p>
            <w:pPr>
              <w:spacing w:line="264" w:lineRule="auto"/>
            </w:pPr>
            <w:r/>
            <w:r>
              <w:rPr>
                <w:rFonts w:ascii="Calibri" w:hAnsi="Calibri" w:cs="Calibri"/>
                <w:sz w:val="20"/>
              </w:rPr>
              <w:t>Mühendislik analizi/hesaplama ile uygunluk gösterimi</w:t>
            </w:r>
          </w:p>
        </w:tc>
      </w:tr>
      <w:tr>
        <w:trPr>
          <w:cantSplit/>
        </w:trPr>
        <w:tc>
          <w:tcPr>
            <w:tcW w:type="dxa" w:w="1304"/>
            <w:shd w:val="clear" w:color="auto" w:fill="F2F6FA"/>
          </w:tcPr>
          <w:p>
            <w:pPr>
              <w:spacing w:line="264" w:lineRule="auto"/>
            </w:pPr>
            <w:r/>
            <w:r>
              <w:rPr>
                <w:rFonts w:ascii="Calibri" w:hAnsi="Calibri" w:cs="Calibri"/>
                <w:sz w:val="20"/>
              </w:rPr>
              <w:t>MoC-2</w:t>
            </w:r>
          </w:p>
        </w:tc>
        <w:tc>
          <w:tcPr>
            <w:tcW w:type="dxa" w:w="1814"/>
            <w:shd w:val="clear" w:color="auto" w:fill="F2F6FA"/>
          </w:tcPr>
          <w:p>
            <w:pPr>
              <w:spacing w:line="264" w:lineRule="auto"/>
            </w:pPr>
            <w:r/>
            <w:r>
              <w:rPr>
                <w:rFonts w:ascii="Calibri" w:hAnsi="Calibri" w:cs="Calibri"/>
                <w:sz w:val="20"/>
              </w:rPr>
              <w:t>Test</w:t>
            </w:r>
          </w:p>
        </w:tc>
        <w:tc>
          <w:tcPr>
            <w:tcW w:type="dxa" w:w="6180"/>
            <w:shd w:val="clear" w:color="auto" w:fill="F2F6FA"/>
          </w:tcPr>
          <w:p>
            <w:pPr>
              <w:spacing w:line="264" w:lineRule="auto"/>
            </w:pPr>
            <w:r/>
            <w:r>
              <w:rPr>
                <w:rFonts w:ascii="Calibri" w:hAnsi="Calibri" w:cs="Calibri"/>
                <w:sz w:val="20"/>
              </w:rPr>
              <w:t>Ölçülebilir, tekrarlanabilir deney ile doğrulama</w:t>
            </w:r>
          </w:p>
        </w:tc>
      </w:tr>
      <w:tr>
        <w:trPr>
          <w:cantSplit/>
        </w:trPr>
        <w:tc>
          <w:tcPr>
            <w:tcW w:type="dxa" w:w="1304"/>
            <w:shd w:val="clear" w:color="auto" w:fill="F2F6FA"/>
          </w:tcPr>
          <w:p>
            <w:pPr>
              <w:spacing w:line="264" w:lineRule="auto"/>
            </w:pPr>
            <w:r/>
            <w:r>
              <w:rPr>
                <w:rFonts w:ascii="Calibri" w:hAnsi="Calibri" w:cs="Calibri"/>
                <w:sz w:val="20"/>
              </w:rPr>
              <w:t>MoC-3</w:t>
            </w:r>
          </w:p>
        </w:tc>
        <w:tc>
          <w:tcPr>
            <w:tcW w:type="dxa" w:w="1814"/>
            <w:shd w:val="clear" w:color="auto" w:fill="F2F6FA"/>
          </w:tcPr>
          <w:p>
            <w:pPr>
              <w:spacing w:line="264" w:lineRule="auto"/>
            </w:pPr>
            <w:r/>
            <w:r>
              <w:rPr>
                <w:rFonts w:ascii="Calibri" w:hAnsi="Calibri" w:cs="Calibri"/>
                <w:sz w:val="20"/>
              </w:rPr>
              <w:t>Muayene</w:t>
            </w:r>
          </w:p>
        </w:tc>
        <w:tc>
          <w:tcPr>
            <w:tcW w:type="dxa" w:w="6180"/>
            <w:shd w:val="clear" w:color="auto" w:fill="F2F6FA"/>
          </w:tcPr>
          <w:p>
            <w:pPr>
              <w:spacing w:line="264" w:lineRule="auto"/>
            </w:pPr>
            <w:r/>
            <w:r>
              <w:rPr>
                <w:rFonts w:ascii="Calibri" w:hAnsi="Calibri" w:cs="Calibri"/>
                <w:sz w:val="20"/>
              </w:rPr>
              <w:t>Kod/konfigürasyon/donanımın gözle incelenmesi</w:t>
            </w:r>
          </w:p>
        </w:tc>
      </w:tr>
      <w:tr>
        <w:trPr>
          <w:cantSplit/>
        </w:trPr>
        <w:tc>
          <w:tcPr>
            <w:tcW w:type="dxa" w:w="1304"/>
            <w:shd w:val="clear" w:color="auto" w:fill="F2F6FA"/>
          </w:tcPr>
          <w:p>
            <w:pPr>
              <w:spacing w:line="264" w:lineRule="auto"/>
            </w:pPr>
            <w:r/>
            <w:r>
              <w:rPr>
                <w:rFonts w:ascii="Calibri" w:hAnsi="Calibri" w:cs="Calibri"/>
                <w:sz w:val="20"/>
              </w:rPr>
              <w:t>MoC-4</w:t>
            </w:r>
          </w:p>
        </w:tc>
        <w:tc>
          <w:tcPr>
            <w:tcW w:type="dxa" w:w="1814"/>
            <w:shd w:val="clear" w:color="auto" w:fill="F2F6FA"/>
          </w:tcPr>
          <w:p>
            <w:pPr>
              <w:spacing w:line="264" w:lineRule="auto"/>
            </w:pPr>
            <w:r/>
            <w:r>
              <w:rPr>
                <w:rFonts w:ascii="Calibri" w:hAnsi="Calibri" w:cs="Calibri"/>
                <w:sz w:val="20"/>
              </w:rPr>
              <w:t>Demonstrasyon</w:t>
            </w:r>
          </w:p>
        </w:tc>
        <w:tc>
          <w:tcPr>
            <w:tcW w:type="dxa" w:w="6180"/>
            <w:shd w:val="clear" w:color="auto" w:fill="F2F6FA"/>
          </w:tcPr>
          <w:p>
            <w:pPr>
              <w:spacing w:line="264" w:lineRule="auto"/>
            </w:pPr>
            <w:r/>
            <w:r>
              <w:rPr>
                <w:rFonts w:ascii="Calibri" w:hAnsi="Calibri" w:cs="Calibri"/>
                <w:sz w:val="20"/>
              </w:rPr>
              <w:t>İşlevin senaryo tatbikatıyla gösterilmesi</w:t>
            </w:r>
          </w:p>
        </w:tc>
      </w:tr>
      <w:tr>
        <w:trPr>
          <w:cantSplit/>
        </w:trPr>
        <w:tc>
          <w:tcPr>
            <w:tcW w:type="dxa" w:w="1304"/>
            <w:shd w:val="clear" w:color="auto" w:fill="F2F6FA"/>
          </w:tcPr>
          <w:p>
            <w:pPr>
              <w:spacing w:line="264" w:lineRule="auto"/>
            </w:pPr>
            <w:r/>
            <w:r>
              <w:rPr>
                <w:rFonts w:ascii="Calibri" w:hAnsi="Calibri" w:cs="Calibri"/>
                <w:sz w:val="20"/>
              </w:rPr>
              <w:t>MoC-5</w:t>
            </w:r>
          </w:p>
        </w:tc>
        <w:tc>
          <w:tcPr>
            <w:tcW w:type="dxa" w:w="1814"/>
            <w:shd w:val="clear" w:color="auto" w:fill="F2F6FA"/>
          </w:tcPr>
          <w:p>
            <w:pPr>
              <w:spacing w:line="264" w:lineRule="auto"/>
            </w:pPr>
            <w:r/>
            <w:r>
              <w:rPr>
                <w:rFonts w:ascii="Calibri" w:hAnsi="Calibri" w:cs="Calibri"/>
                <w:sz w:val="20"/>
              </w:rPr>
              <w:t>Benzerlik</w:t>
            </w:r>
          </w:p>
        </w:tc>
        <w:tc>
          <w:tcPr>
            <w:tcW w:type="dxa" w:w="6180"/>
            <w:shd w:val="clear" w:color="auto" w:fill="F2F6FA"/>
          </w:tcPr>
          <w:p>
            <w:pPr>
              <w:spacing w:line="264" w:lineRule="auto"/>
            </w:pPr>
            <w:r/>
            <w:r>
              <w:rPr>
                <w:rFonts w:ascii="Calibri" w:hAnsi="Calibri" w:cs="Calibri"/>
                <w:sz w:val="20"/>
              </w:rPr>
              <w:t>Kanıtlanmış bir sistemle benzerlik üzerinden uygunluk</w:t>
            </w:r>
          </w:p>
        </w:tc>
      </w:tr>
    </w:tbl>
    <w:p>
      <w:pPr>
        <w:spacing w:line="276" w:lineRule="auto"/>
        <w:jc w:val="center"/>
      </w:pPr>
      <w:r>
        <w:rPr>
          <w:rFonts w:ascii="Calibri" w:hAnsi="Calibri" w:cs="Calibri"/>
          <w:b/>
          <w:sz w:val="22"/>
        </w:rPr>
        <w:t>Tablo 5.1. Uygulanan doğrulama yöntemleri (MoC — Means of Compliance)</w:t>
      </w:r>
    </w:p>
    <w:p>
      <w:pPr>
        <w:spacing w:line="276" w:lineRule="auto"/>
        <w:jc w:val="both"/>
      </w:pPr>
      <w:r>
        <w:rPr>
          <w:rFonts w:ascii="Calibri" w:hAnsi="Calibri" w:cs="Calibri"/>
          <w:b/>
          <w:sz w:val="22"/>
        </w:rPr>
        <w:t xml:space="preserve">Gereksinim İzlenebilirlik Matrisi. </w:t>
      </w:r>
      <w:r>
        <w:rPr>
          <w:rFonts w:ascii="Calibri" w:hAnsi="Calibri" w:cs="Calibri"/>
          <w:b w:val="0"/>
          <w:sz w:val="22"/>
        </w:rPr>
        <w:t>Yazılım/algı/haberleşme gereksinimlerinin şartname maddeleriyle ilişkisi, uygulanan doğrulama yöntemi, mevcut karşılanma durumu ve dayandığı kanıt Tablo 5.2'de sunulmaktadır.</w:t>
      </w:r>
    </w:p>
    <w:tbl>
      <w:tblPr>
        <w:tblStyle w:val="Table1"/>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8"/>
        <w:gridCol w:w="1568"/>
        <w:gridCol w:w="1568"/>
        <w:gridCol w:w="1568"/>
        <w:gridCol w:w="1568"/>
        <w:gridCol w:w="1568"/>
      </w:tblGrid>
      <w:tr>
        <w:tc>
          <w:tcPr>
            <w:tcW w:type="dxa" w:w="850"/>
            <w:shd w:val="clear" w:color="auto" w:fill="1F3864"/>
          </w:tcPr>
          <w:p>
            <w:pPr>
              <w:jc w:val="center"/>
            </w:pPr>
            <w:r/>
            <w:r>
              <w:rPr>
                <w:rFonts w:ascii="Calibri" w:hAnsi="Calibri" w:cs="Calibri"/>
                <w:b/>
                <w:color w:val="FFFFFF"/>
                <w:sz w:val="18"/>
              </w:rPr>
              <w:t>ID</w:t>
            </w:r>
          </w:p>
        </w:tc>
        <w:tc>
          <w:tcPr>
            <w:tcW w:type="dxa" w:w="1020"/>
            <w:shd w:val="clear" w:color="auto" w:fill="1F3864"/>
          </w:tcPr>
          <w:p>
            <w:pPr>
              <w:jc w:val="center"/>
            </w:pPr>
            <w:r/>
            <w:r>
              <w:rPr>
                <w:rFonts w:ascii="Calibri" w:hAnsi="Calibri" w:cs="Calibri"/>
                <w:b/>
                <w:color w:val="FFFFFF"/>
                <w:sz w:val="18"/>
              </w:rPr>
              <w:t>Madde</w:t>
            </w:r>
          </w:p>
        </w:tc>
        <w:tc>
          <w:tcPr>
            <w:tcW w:type="dxa" w:w="2665"/>
            <w:shd w:val="clear" w:color="auto" w:fill="1F3864"/>
          </w:tcPr>
          <w:p>
            <w:pPr>
              <w:jc w:val="center"/>
            </w:pPr>
            <w:r/>
            <w:r>
              <w:rPr>
                <w:rFonts w:ascii="Calibri" w:hAnsi="Calibri" w:cs="Calibri"/>
                <w:b/>
                <w:color w:val="FFFFFF"/>
                <w:sz w:val="18"/>
              </w:rPr>
              <w:t>Gereksinim</w:t>
            </w:r>
          </w:p>
        </w:tc>
        <w:tc>
          <w:tcPr>
            <w:tcW w:type="dxa" w:w="907"/>
            <w:shd w:val="clear" w:color="auto" w:fill="1F3864"/>
          </w:tcPr>
          <w:p>
            <w:pPr>
              <w:jc w:val="center"/>
            </w:pPr>
            <w:r/>
            <w:r>
              <w:rPr>
                <w:rFonts w:ascii="Calibri" w:hAnsi="Calibri" w:cs="Calibri"/>
                <w:b/>
                <w:color w:val="FFFFFF"/>
                <w:sz w:val="18"/>
              </w:rPr>
              <w:t>MoC</w:t>
            </w:r>
          </w:p>
        </w:tc>
        <w:tc>
          <w:tcPr>
            <w:tcW w:type="dxa" w:w="1304"/>
            <w:shd w:val="clear" w:color="auto" w:fill="1F3864"/>
          </w:tcPr>
          <w:p>
            <w:pPr>
              <w:jc w:val="center"/>
            </w:pPr>
            <w:r/>
            <w:r>
              <w:rPr>
                <w:rFonts w:ascii="Calibri" w:hAnsi="Calibri" w:cs="Calibri"/>
                <w:b/>
                <w:color w:val="FFFFFF"/>
                <w:sz w:val="18"/>
              </w:rPr>
              <w:t>Durum</w:t>
            </w:r>
          </w:p>
        </w:tc>
        <w:tc>
          <w:tcPr>
            <w:tcW w:type="dxa" w:w="2891"/>
            <w:shd w:val="clear" w:color="auto" w:fill="1F3864"/>
          </w:tcPr>
          <w:p>
            <w:pPr>
              <w:jc w:val="center"/>
            </w:pPr>
            <w:r/>
            <w:r>
              <w:rPr>
                <w:rFonts w:ascii="Calibri" w:hAnsi="Calibri" w:cs="Calibri"/>
                <w:b/>
                <w:color w:val="FFFFFF"/>
                <w:sz w:val="18"/>
              </w:rPr>
              <w:t>Kanıt</w:t>
            </w:r>
          </w:p>
        </w:tc>
      </w:tr>
      <w:tr>
        <w:trPr>
          <w:cantSplit/>
        </w:trPr>
        <w:tc>
          <w:tcPr>
            <w:tcW w:type="dxa" w:w="850"/>
            <w:shd w:val="clear" w:color="auto" w:fill="F2F6FA"/>
          </w:tcPr>
          <w:p>
            <w:pPr>
              <w:spacing w:line="264" w:lineRule="auto"/>
            </w:pPr>
            <w:r/>
            <w:r>
              <w:rPr>
                <w:rFonts w:ascii="Calibri" w:hAnsi="Calibri" w:cs="Calibri"/>
                <w:sz w:val="18"/>
              </w:rPr>
              <w:t>G-SW-01</w:t>
            </w:r>
          </w:p>
        </w:tc>
        <w:tc>
          <w:tcPr>
            <w:tcW w:type="dxa" w:w="1020"/>
            <w:shd w:val="clear" w:color="auto" w:fill="F2F6FA"/>
          </w:tcPr>
          <w:p>
            <w:pPr>
              <w:spacing w:line="264" w:lineRule="auto"/>
            </w:pPr>
            <w:r/>
            <w:r>
              <w:rPr>
                <w:rFonts w:ascii="Calibri" w:hAnsi="Calibri" w:cs="Calibri"/>
                <w:sz w:val="18"/>
              </w:rPr>
              <w:t>2.2.2</w:t>
            </w:r>
          </w:p>
        </w:tc>
        <w:tc>
          <w:tcPr>
            <w:tcW w:type="dxa" w:w="2665"/>
            <w:shd w:val="clear" w:color="auto" w:fill="F2F6FA"/>
          </w:tcPr>
          <w:p>
            <w:pPr>
              <w:spacing w:line="264" w:lineRule="auto"/>
            </w:pPr>
            <w:r/>
            <w:r>
              <w:rPr>
                <w:rFonts w:ascii="Calibri" w:hAnsi="Calibri" w:cs="Calibri"/>
                <w:sz w:val="18"/>
              </w:rPr>
              <w:t>İHA, görüntü işleme ile HTAB'daki açık güzergâhı tespit etmeli.</w:t>
            </w:r>
          </w:p>
        </w:tc>
        <w:tc>
          <w:tcPr>
            <w:tcW w:type="dxa" w:w="907"/>
            <w:shd w:val="clear" w:color="auto" w:fill="F2F6FA"/>
          </w:tcPr>
          <w:p>
            <w:pPr>
              <w:spacing w:line="264" w:lineRule="auto"/>
            </w:pPr>
            <w:r/>
            <w:r>
              <w:rPr>
                <w:rFonts w:ascii="Calibri" w:hAnsi="Calibri" w:cs="Calibri"/>
                <w:sz w:val="18"/>
              </w:rPr>
              <w:t>MoC-2</w:t>
            </w:r>
          </w:p>
        </w:tc>
        <w:tc>
          <w:tcPr>
            <w:tcW w:type="dxa" w:w="1304"/>
            <w:shd w:val="clear" w:color="auto" w:fill="F2F6FA"/>
          </w:tcPr>
          <w:p>
            <w:pPr>
              <w:spacing w:line="264" w:lineRule="auto"/>
            </w:pPr>
            <w:r/>
            <w:r>
              <w:rPr>
                <w:rFonts w:ascii="Calibri" w:hAnsi="Calibri" w:cs="Calibri"/>
                <w:sz w:val="18"/>
              </w:rPr>
              <w:t>Devam Ediyor</w:t>
            </w:r>
          </w:p>
        </w:tc>
        <w:tc>
          <w:tcPr>
            <w:tcW w:type="dxa" w:w="2891"/>
            <w:shd w:val="clear" w:color="auto" w:fill="F2F6FA"/>
          </w:tcPr>
          <w:p>
            <w:pPr>
              <w:spacing w:line="264" w:lineRule="auto"/>
            </w:pPr>
            <w:r/>
            <w:r>
              <w:rPr>
                <w:rFonts w:ascii="Calibri" w:hAnsi="Calibri" w:cs="Calibri"/>
                <w:sz w:val="18"/>
              </w:rPr>
              <w:t>v4 mAP50=0,6751; gerçek İHA kamerası saha testi planlı</w:t>
            </w:r>
          </w:p>
        </w:tc>
      </w:tr>
      <w:tr>
        <w:trPr>
          <w:cantSplit/>
        </w:trPr>
        <w:tc>
          <w:tcPr>
            <w:tcW w:type="dxa" w:w="850"/>
            <w:shd w:val="clear" w:color="auto" w:fill="F2F6FA"/>
          </w:tcPr>
          <w:p>
            <w:pPr>
              <w:spacing w:line="264" w:lineRule="auto"/>
            </w:pPr>
            <w:r/>
            <w:r>
              <w:rPr>
                <w:rFonts w:ascii="Calibri" w:hAnsi="Calibri" w:cs="Calibri"/>
                <w:sz w:val="18"/>
              </w:rPr>
              <w:t>G-SW-02</w:t>
            </w:r>
          </w:p>
        </w:tc>
        <w:tc>
          <w:tcPr>
            <w:tcW w:type="dxa" w:w="1020"/>
            <w:shd w:val="clear" w:color="auto" w:fill="F2F6FA"/>
          </w:tcPr>
          <w:p>
            <w:pPr>
              <w:spacing w:line="264" w:lineRule="auto"/>
            </w:pPr>
            <w:r/>
            <w:r>
              <w:rPr>
                <w:rFonts w:ascii="Calibri" w:hAnsi="Calibri" w:cs="Calibri"/>
                <w:sz w:val="18"/>
              </w:rPr>
              <w:t>2.2.3</w:t>
            </w:r>
          </w:p>
        </w:tc>
        <w:tc>
          <w:tcPr>
            <w:tcW w:type="dxa" w:w="2665"/>
            <w:shd w:val="clear" w:color="auto" w:fill="F2F6FA"/>
          </w:tcPr>
          <w:p>
            <w:pPr>
              <w:spacing w:line="264" w:lineRule="auto"/>
            </w:pPr>
            <w:r/>
            <w:r>
              <w:rPr>
                <w:rFonts w:ascii="Calibri" w:hAnsi="Calibri" w:cs="Calibri"/>
                <w:sz w:val="18"/>
              </w:rPr>
              <w:t>Güzergâh, İHA havadayken YKS ve İKA'ya aktarılmalı.</w:t>
            </w:r>
          </w:p>
        </w:tc>
        <w:tc>
          <w:tcPr>
            <w:tcW w:type="dxa" w:w="907"/>
            <w:shd w:val="clear" w:color="auto" w:fill="F2F6FA"/>
          </w:tcPr>
          <w:p>
            <w:pPr>
              <w:spacing w:line="264" w:lineRule="auto"/>
            </w:pPr>
            <w:r/>
            <w:r>
              <w:rPr>
                <w:rFonts w:ascii="Calibri" w:hAnsi="Calibri" w:cs="Calibri"/>
                <w:sz w:val="18"/>
              </w:rPr>
              <w:t>MoC-2</w:t>
            </w:r>
          </w:p>
        </w:tc>
        <w:tc>
          <w:tcPr>
            <w:tcW w:type="dxa" w:w="1304"/>
            <w:shd w:val="clear" w:color="auto" w:fill="F2F6FA"/>
          </w:tcPr>
          <w:p>
            <w:pPr>
              <w:spacing w:line="264" w:lineRule="auto"/>
            </w:pPr>
            <w:r/>
            <w:r>
              <w:rPr>
                <w:rFonts w:ascii="Calibri" w:hAnsi="Calibri" w:cs="Calibri"/>
                <w:sz w:val="18"/>
              </w:rPr>
              <w:t>Devam Ediyor</w:t>
            </w:r>
          </w:p>
        </w:tc>
        <w:tc>
          <w:tcPr>
            <w:tcW w:type="dxa" w:w="2891"/>
            <w:shd w:val="clear" w:color="auto" w:fill="F2F6FA"/>
          </w:tcPr>
          <w:p>
            <w:pPr>
              <w:spacing w:line="264" w:lineRule="auto"/>
            </w:pPr>
            <w:r/>
            <w:r>
              <w:rPr>
                <w:rFonts w:ascii="Calibri" w:hAnsi="Calibri" w:cs="Calibri"/>
                <w:sz w:val="18"/>
              </w:rPr>
              <w:t>Entegrasyon testi GEÇTİ; 433 MHz saha testi planlı</w:t>
            </w:r>
          </w:p>
        </w:tc>
      </w:tr>
      <w:tr>
        <w:trPr>
          <w:cantSplit/>
        </w:trPr>
        <w:tc>
          <w:tcPr>
            <w:tcW w:type="dxa" w:w="850"/>
            <w:shd w:val="clear" w:color="auto" w:fill="F2F6FA"/>
          </w:tcPr>
          <w:p>
            <w:pPr>
              <w:spacing w:line="264" w:lineRule="auto"/>
            </w:pPr>
            <w:r/>
            <w:r>
              <w:rPr>
                <w:rFonts w:ascii="Calibri" w:hAnsi="Calibri" w:cs="Calibri"/>
                <w:sz w:val="18"/>
              </w:rPr>
              <w:t>G-SW-03</w:t>
            </w:r>
          </w:p>
        </w:tc>
        <w:tc>
          <w:tcPr>
            <w:tcW w:type="dxa" w:w="1020"/>
            <w:shd w:val="clear" w:color="auto" w:fill="F2F6FA"/>
          </w:tcPr>
          <w:p>
            <w:pPr>
              <w:spacing w:line="264" w:lineRule="auto"/>
            </w:pPr>
            <w:r/>
            <w:r>
              <w:rPr>
                <w:rFonts w:ascii="Calibri" w:hAnsi="Calibri" w:cs="Calibri"/>
                <w:sz w:val="18"/>
              </w:rPr>
              <w:t>2.2.3 / 6.2</w:t>
            </w:r>
          </w:p>
        </w:tc>
        <w:tc>
          <w:tcPr>
            <w:tcW w:type="dxa" w:w="2665"/>
            <w:shd w:val="clear" w:color="auto" w:fill="F2F6FA"/>
          </w:tcPr>
          <w:p>
            <w:pPr>
              <w:spacing w:line="264" w:lineRule="auto"/>
            </w:pPr>
            <w:r/>
            <w:r>
              <w:rPr>
                <w:rFonts w:ascii="Calibri" w:hAnsi="Calibri" w:cs="Calibri"/>
                <w:sz w:val="18"/>
              </w:rPr>
              <w:t>Alan hakemi tespiti canlı (iki aşamalı) onaylayabilmeli.</w:t>
            </w:r>
          </w:p>
        </w:tc>
        <w:tc>
          <w:tcPr>
            <w:tcW w:type="dxa" w:w="907"/>
            <w:shd w:val="clear" w:color="auto" w:fill="F2F6FA"/>
          </w:tcPr>
          <w:p>
            <w:pPr>
              <w:spacing w:line="264" w:lineRule="auto"/>
            </w:pPr>
            <w:r/>
            <w:r>
              <w:rPr>
                <w:rFonts w:ascii="Calibri" w:hAnsi="Calibri" w:cs="Calibri"/>
                <w:sz w:val="18"/>
              </w:rPr>
              <w:t>MoC-4</w:t>
            </w:r>
          </w:p>
        </w:tc>
        <w:tc>
          <w:tcPr>
            <w:tcW w:type="dxa" w:w="1304"/>
            <w:shd w:val="clear" w:color="auto" w:fill="F2F6FA"/>
          </w:tcPr>
          <w:p>
            <w:pPr>
              <w:spacing w:line="264" w:lineRule="auto"/>
            </w:pPr>
            <w:r/>
            <w:r>
              <w:rPr>
                <w:rFonts w:ascii="Calibri" w:hAnsi="Calibri" w:cs="Calibri"/>
                <w:sz w:val="18"/>
              </w:rPr>
              <w:t>Karşılandı</w:t>
            </w:r>
          </w:p>
        </w:tc>
        <w:tc>
          <w:tcPr>
            <w:tcW w:type="dxa" w:w="2891"/>
            <w:shd w:val="clear" w:color="auto" w:fill="F2F6FA"/>
          </w:tcPr>
          <w:p>
            <w:pPr>
              <w:spacing w:line="264" w:lineRule="auto"/>
            </w:pPr>
            <w:r/>
            <w:r>
              <w:rPr>
                <w:rFonts w:ascii="Calibri" w:hAnsi="Calibri" w:cs="Calibri"/>
                <w:sz w:val="18"/>
              </w:rPr>
              <w:t>YKS iki aşamalı onay doğrulandı</w:t>
            </w:r>
          </w:p>
        </w:tc>
      </w:tr>
      <w:tr>
        <w:trPr>
          <w:cantSplit/>
        </w:trPr>
        <w:tc>
          <w:tcPr>
            <w:tcW w:type="dxa" w:w="850"/>
            <w:shd w:val="clear" w:color="auto" w:fill="F2F6FA"/>
          </w:tcPr>
          <w:p>
            <w:pPr>
              <w:spacing w:line="264" w:lineRule="auto"/>
            </w:pPr>
            <w:r/>
            <w:r>
              <w:rPr>
                <w:rFonts w:ascii="Calibri" w:hAnsi="Calibri" w:cs="Calibri"/>
                <w:sz w:val="18"/>
              </w:rPr>
              <w:t>G-SW-04</w:t>
            </w:r>
          </w:p>
        </w:tc>
        <w:tc>
          <w:tcPr>
            <w:tcW w:type="dxa" w:w="1020"/>
            <w:shd w:val="clear" w:color="auto" w:fill="F2F6FA"/>
          </w:tcPr>
          <w:p>
            <w:pPr>
              <w:spacing w:line="264" w:lineRule="auto"/>
            </w:pPr>
            <w:r/>
            <w:r>
              <w:rPr>
                <w:rFonts w:ascii="Calibri" w:hAnsi="Calibri" w:cs="Calibri"/>
                <w:sz w:val="18"/>
              </w:rPr>
              <w:t>2.2.5</w:t>
            </w:r>
          </w:p>
        </w:tc>
        <w:tc>
          <w:tcPr>
            <w:tcW w:type="dxa" w:w="2665"/>
            <w:shd w:val="clear" w:color="auto" w:fill="F2F6FA"/>
          </w:tcPr>
          <w:p>
            <w:pPr>
              <w:spacing w:line="264" w:lineRule="auto"/>
            </w:pPr>
            <w:r/>
            <w:r>
              <w:rPr>
                <w:rFonts w:ascii="Calibri" w:hAnsi="Calibri" w:cs="Calibri"/>
                <w:sz w:val="18"/>
              </w:rPr>
              <w:t>İHA yere temas etmeden İKA hareket edememeli.</w:t>
            </w:r>
          </w:p>
        </w:tc>
        <w:tc>
          <w:tcPr>
            <w:tcW w:type="dxa" w:w="907"/>
            <w:shd w:val="clear" w:color="auto" w:fill="F2F6FA"/>
          </w:tcPr>
          <w:p>
            <w:pPr>
              <w:spacing w:line="264" w:lineRule="auto"/>
            </w:pPr>
            <w:r/>
            <w:r>
              <w:rPr>
                <w:rFonts w:ascii="Calibri" w:hAnsi="Calibri" w:cs="Calibri"/>
                <w:sz w:val="18"/>
              </w:rPr>
              <w:t>MoC-3, 4</w:t>
            </w:r>
          </w:p>
        </w:tc>
        <w:tc>
          <w:tcPr>
            <w:tcW w:type="dxa" w:w="1304"/>
            <w:shd w:val="clear" w:color="auto" w:fill="F2F6FA"/>
          </w:tcPr>
          <w:p>
            <w:pPr>
              <w:spacing w:line="264" w:lineRule="auto"/>
            </w:pPr>
            <w:r/>
            <w:r>
              <w:rPr>
                <w:rFonts w:ascii="Calibri" w:hAnsi="Calibri" w:cs="Calibri"/>
                <w:sz w:val="18"/>
              </w:rPr>
              <w:t>Karşılandı</w:t>
            </w:r>
          </w:p>
        </w:tc>
        <w:tc>
          <w:tcPr>
            <w:tcW w:type="dxa" w:w="2891"/>
            <w:shd w:val="clear" w:color="auto" w:fill="F2F6FA"/>
          </w:tcPr>
          <w:p>
            <w:pPr>
              <w:spacing w:line="264" w:lineRule="auto"/>
            </w:pPr>
            <w:r/>
            <w:r>
              <w:rPr>
                <w:rFonts w:ascii="Calibri" w:hAnsi="Calibri" w:cs="Calibri"/>
                <w:sz w:val="18"/>
              </w:rPr>
              <w:t>YKS kilit mantığı; erken hareket reddedildi</w:t>
            </w:r>
          </w:p>
        </w:tc>
      </w:tr>
      <w:tr>
        <w:trPr>
          <w:cantSplit/>
        </w:trPr>
        <w:tc>
          <w:tcPr>
            <w:tcW w:type="dxa" w:w="850"/>
            <w:shd w:val="clear" w:color="auto" w:fill="F2F6FA"/>
          </w:tcPr>
          <w:p>
            <w:pPr>
              <w:spacing w:line="264" w:lineRule="auto"/>
            </w:pPr>
            <w:r/>
            <w:r>
              <w:rPr>
                <w:rFonts w:ascii="Calibri" w:hAnsi="Calibri" w:cs="Calibri"/>
                <w:sz w:val="18"/>
              </w:rPr>
              <w:t>G-SW-05</w:t>
            </w:r>
          </w:p>
        </w:tc>
        <w:tc>
          <w:tcPr>
            <w:tcW w:type="dxa" w:w="1020"/>
            <w:shd w:val="clear" w:color="auto" w:fill="F2F6FA"/>
          </w:tcPr>
          <w:p>
            <w:pPr>
              <w:spacing w:line="264" w:lineRule="auto"/>
            </w:pPr>
            <w:r/>
            <w:r>
              <w:rPr>
                <w:rFonts w:ascii="Calibri" w:hAnsi="Calibri" w:cs="Calibri"/>
                <w:sz w:val="18"/>
              </w:rPr>
              <w:t>6.2</w:t>
            </w:r>
          </w:p>
        </w:tc>
        <w:tc>
          <w:tcPr>
            <w:tcW w:type="dxa" w:w="2665"/>
            <w:shd w:val="clear" w:color="auto" w:fill="F2F6FA"/>
          </w:tcPr>
          <w:p>
            <w:pPr>
              <w:spacing w:line="264" w:lineRule="auto"/>
            </w:pPr>
            <w:r/>
            <w:r>
              <w:rPr>
                <w:rFonts w:ascii="Calibri" w:hAnsi="Calibri" w:cs="Calibri"/>
                <w:sz w:val="18"/>
              </w:rPr>
              <w:t>Hakem onayı alınmayan tespit geçersiz sayılmalı.</w:t>
            </w:r>
          </w:p>
        </w:tc>
        <w:tc>
          <w:tcPr>
            <w:tcW w:type="dxa" w:w="907"/>
            <w:shd w:val="clear" w:color="auto" w:fill="F2F6FA"/>
          </w:tcPr>
          <w:p>
            <w:pPr>
              <w:spacing w:line="264" w:lineRule="auto"/>
            </w:pPr>
            <w:r/>
            <w:r>
              <w:rPr>
                <w:rFonts w:ascii="Calibri" w:hAnsi="Calibri" w:cs="Calibri"/>
                <w:sz w:val="18"/>
              </w:rPr>
              <w:t>MoC-4</w:t>
            </w:r>
          </w:p>
        </w:tc>
        <w:tc>
          <w:tcPr>
            <w:tcW w:type="dxa" w:w="1304"/>
            <w:shd w:val="clear" w:color="auto" w:fill="F2F6FA"/>
          </w:tcPr>
          <w:p>
            <w:pPr>
              <w:spacing w:line="264" w:lineRule="auto"/>
            </w:pPr>
            <w:r/>
            <w:r>
              <w:rPr>
                <w:rFonts w:ascii="Calibri" w:hAnsi="Calibri" w:cs="Calibri"/>
                <w:sz w:val="18"/>
              </w:rPr>
              <w:t>Karşılandı</w:t>
            </w:r>
          </w:p>
        </w:tc>
        <w:tc>
          <w:tcPr>
            <w:tcW w:type="dxa" w:w="2891"/>
            <w:shd w:val="clear" w:color="auto" w:fill="F2F6FA"/>
          </w:tcPr>
          <w:p>
            <w:pPr>
              <w:spacing w:line="264" w:lineRule="auto"/>
            </w:pPr>
            <w:r/>
            <w:r>
              <w:rPr>
                <w:rFonts w:ascii="Calibri" w:hAnsi="Calibri" w:cs="Calibri"/>
                <w:sz w:val="18"/>
              </w:rPr>
              <w:t>ACK yalnızca hakem onayına bağlı</w:t>
            </w:r>
          </w:p>
        </w:tc>
      </w:tr>
      <w:tr>
        <w:trPr>
          <w:cantSplit/>
        </w:trPr>
        <w:tc>
          <w:tcPr>
            <w:tcW w:type="dxa" w:w="850"/>
            <w:shd w:val="clear" w:color="auto" w:fill="F2F6FA"/>
          </w:tcPr>
          <w:p>
            <w:pPr>
              <w:spacing w:line="264" w:lineRule="auto"/>
            </w:pPr>
            <w:r/>
            <w:r>
              <w:rPr>
                <w:rFonts w:ascii="Calibri" w:hAnsi="Calibri" w:cs="Calibri"/>
                <w:sz w:val="18"/>
              </w:rPr>
              <w:t>G-SW-06</w:t>
            </w:r>
          </w:p>
        </w:tc>
        <w:tc>
          <w:tcPr>
            <w:tcW w:type="dxa" w:w="1020"/>
            <w:shd w:val="clear" w:color="auto" w:fill="F2F6FA"/>
          </w:tcPr>
          <w:p>
            <w:pPr>
              <w:spacing w:line="264" w:lineRule="auto"/>
            </w:pPr>
            <w:r/>
            <w:r>
              <w:rPr>
                <w:rFonts w:ascii="Calibri" w:hAnsi="Calibri" w:cs="Calibri"/>
                <w:sz w:val="18"/>
              </w:rPr>
              <w:t>6.4</w:t>
            </w:r>
          </w:p>
        </w:tc>
        <w:tc>
          <w:tcPr>
            <w:tcW w:type="dxa" w:w="2665"/>
            <w:shd w:val="clear" w:color="auto" w:fill="F2F6FA"/>
          </w:tcPr>
          <w:p>
            <w:pPr>
              <w:spacing w:line="264" w:lineRule="auto"/>
            </w:pPr>
            <w:r/>
            <w:r>
              <w:rPr>
                <w:rFonts w:ascii="Calibri" w:hAnsi="Calibri" w:cs="Calibri"/>
                <w:sz w:val="18"/>
              </w:rPr>
              <w:t>Veri akışı kesilirse sistem güvenli duruma geçmeli.</w:t>
            </w:r>
          </w:p>
        </w:tc>
        <w:tc>
          <w:tcPr>
            <w:tcW w:type="dxa" w:w="907"/>
            <w:shd w:val="clear" w:color="auto" w:fill="F2F6FA"/>
          </w:tcPr>
          <w:p>
            <w:pPr>
              <w:spacing w:line="264" w:lineRule="auto"/>
            </w:pPr>
            <w:r/>
            <w:r>
              <w:rPr>
                <w:rFonts w:ascii="Calibri" w:hAnsi="Calibri" w:cs="Calibri"/>
                <w:sz w:val="18"/>
              </w:rPr>
              <w:t>MoC-2</w:t>
            </w:r>
          </w:p>
        </w:tc>
        <w:tc>
          <w:tcPr>
            <w:tcW w:type="dxa" w:w="1304"/>
            <w:shd w:val="clear" w:color="auto" w:fill="F2F6FA"/>
          </w:tcPr>
          <w:p>
            <w:pPr>
              <w:spacing w:line="264" w:lineRule="auto"/>
            </w:pPr>
            <w:r/>
            <w:r>
              <w:rPr>
                <w:rFonts w:ascii="Calibri" w:hAnsi="Calibri" w:cs="Calibri"/>
                <w:sz w:val="18"/>
              </w:rPr>
              <w:t>Devam Ediyor</w:t>
            </w:r>
          </w:p>
        </w:tc>
        <w:tc>
          <w:tcPr>
            <w:tcW w:type="dxa" w:w="2891"/>
            <w:shd w:val="clear" w:color="auto" w:fill="F2F6FA"/>
          </w:tcPr>
          <w:p>
            <w:pPr>
              <w:spacing w:line="264" w:lineRule="auto"/>
            </w:pPr>
            <w:r/>
            <w:r>
              <w:rPr>
                <w:rFonts w:ascii="Calibri" w:hAnsi="Calibri" w:cs="Calibri"/>
                <w:sz w:val="18"/>
              </w:rPr>
              <w:t>Failsafe testi GEÇTİ; saha RF testi planlı</w:t>
            </w:r>
          </w:p>
        </w:tc>
      </w:tr>
      <w:tr>
        <w:trPr>
          <w:cantSplit/>
        </w:trPr>
        <w:tc>
          <w:tcPr>
            <w:tcW w:type="dxa" w:w="850"/>
            <w:shd w:val="clear" w:color="auto" w:fill="F2F6FA"/>
          </w:tcPr>
          <w:p>
            <w:pPr>
              <w:spacing w:line="264" w:lineRule="auto"/>
            </w:pPr>
            <w:r/>
            <w:r>
              <w:rPr>
                <w:rFonts w:ascii="Calibri" w:hAnsi="Calibri" w:cs="Calibri"/>
                <w:sz w:val="18"/>
              </w:rPr>
              <w:t>G-SW-07</w:t>
            </w:r>
          </w:p>
        </w:tc>
        <w:tc>
          <w:tcPr>
            <w:tcW w:type="dxa" w:w="1020"/>
            <w:shd w:val="clear" w:color="auto" w:fill="F2F6FA"/>
          </w:tcPr>
          <w:p>
            <w:pPr>
              <w:spacing w:line="264" w:lineRule="auto"/>
            </w:pPr>
            <w:r/>
            <w:r>
              <w:rPr>
                <w:rFonts w:ascii="Calibri" w:hAnsi="Calibri" w:cs="Calibri"/>
                <w:sz w:val="18"/>
              </w:rPr>
              <w:t>3.3.5</w:t>
            </w:r>
          </w:p>
        </w:tc>
        <w:tc>
          <w:tcPr>
            <w:tcW w:type="dxa" w:w="2665"/>
            <w:shd w:val="clear" w:color="auto" w:fill="F2F6FA"/>
          </w:tcPr>
          <w:p>
            <w:pPr>
              <w:spacing w:line="264" w:lineRule="auto"/>
            </w:pPr>
            <w:r/>
            <w:r>
              <w:rPr>
                <w:rFonts w:ascii="Calibri" w:hAnsi="Calibri" w:cs="Calibri"/>
                <w:sz w:val="18"/>
              </w:rPr>
              <w:t>Haberleşme çerçevesinde veri bütünlüğü (CRC) sağlanmalı.</w:t>
            </w:r>
          </w:p>
        </w:tc>
        <w:tc>
          <w:tcPr>
            <w:tcW w:type="dxa" w:w="907"/>
            <w:shd w:val="clear" w:color="auto" w:fill="F2F6FA"/>
          </w:tcPr>
          <w:p>
            <w:pPr>
              <w:spacing w:line="264" w:lineRule="auto"/>
            </w:pPr>
            <w:r/>
            <w:r>
              <w:rPr>
                <w:rFonts w:ascii="Calibri" w:hAnsi="Calibri" w:cs="Calibri"/>
                <w:sz w:val="18"/>
              </w:rPr>
              <w:t>MoC-1</w:t>
            </w:r>
          </w:p>
        </w:tc>
        <w:tc>
          <w:tcPr>
            <w:tcW w:type="dxa" w:w="1304"/>
            <w:shd w:val="clear" w:color="auto" w:fill="F2F6FA"/>
          </w:tcPr>
          <w:p>
            <w:pPr>
              <w:spacing w:line="264" w:lineRule="auto"/>
            </w:pPr>
            <w:r/>
            <w:r>
              <w:rPr>
                <w:rFonts w:ascii="Calibri" w:hAnsi="Calibri" w:cs="Calibri"/>
                <w:sz w:val="18"/>
              </w:rPr>
              <w:t>Açık Madde</w:t>
            </w:r>
          </w:p>
        </w:tc>
        <w:tc>
          <w:tcPr>
            <w:tcW w:type="dxa" w:w="2891"/>
            <w:shd w:val="clear" w:color="auto" w:fill="F2F6FA"/>
          </w:tcPr>
          <w:p>
            <w:pPr>
              <w:spacing w:line="264" w:lineRule="auto"/>
            </w:pPr>
            <w:r/>
            <w:r>
              <w:rPr>
                <w:rFonts w:ascii="Calibri" w:hAnsi="Calibri" w:cs="Calibri"/>
                <w:sz w:val="18"/>
              </w:rPr>
              <w:t>OPEN_ROUTE'ta CRC yok; FDR'a kadar eklenecek</w:t>
            </w:r>
          </w:p>
        </w:tc>
      </w:tr>
      <w:tr>
        <w:trPr>
          <w:cantSplit/>
        </w:trPr>
        <w:tc>
          <w:tcPr>
            <w:tcW w:type="dxa" w:w="850"/>
            <w:shd w:val="clear" w:color="auto" w:fill="F2F6FA"/>
          </w:tcPr>
          <w:p>
            <w:pPr>
              <w:spacing w:line="264" w:lineRule="auto"/>
            </w:pPr>
            <w:r/>
            <w:r>
              <w:rPr>
                <w:rFonts w:ascii="Calibri" w:hAnsi="Calibri" w:cs="Calibri"/>
                <w:sz w:val="18"/>
              </w:rPr>
              <w:t>G-SW-08</w:t>
            </w:r>
          </w:p>
        </w:tc>
        <w:tc>
          <w:tcPr>
            <w:tcW w:type="dxa" w:w="1020"/>
            <w:shd w:val="clear" w:color="auto" w:fill="F2F6FA"/>
          </w:tcPr>
          <w:p>
            <w:pPr>
              <w:spacing w:line="264" w:lineRule="auto"/>
            </w:pPr>
            <w:r/>
            <w:r>
              <w:rPr>
                <w:rFonts w:ascii="Calibri" w:hAnsi="Calibri" w:cs="Calibri"/>
                <w:sz w:val="18"/>
              </w:rPr>
              <w:t>Takım hedefi</w:t>
            </w:r>
          </w:p>
        </w:tc>
        <w:tc>
          <w:tcPr>
            <w:tcW w:type="dxa" w:w="2665"/>
            <w:shd w:val="clear" w:color="auto" w:fill="F2F6FA"/>
          </w:tcPr>
          <w:p>
            <w:pPr>
              <w:spacing w:line="264" w:lineRule="auto"/>
            </w:pPr>
            <w:r/>
            <w:r>
              <w:rPr>
                <w:rFonts w:ascii="Calibri" w:hAnsi="Calibri" w:cs="Calibri"/>
                <w:sz w:val="18"/>
              </w:rPr>
              <w:t>Model başarı hedefini (mAP50 ≥ 0,60) karşılamalı.</w:t>
            </w:r>
          </w:p>
        </w:tc>
        <w:tc>
          <w:tcPr>
            <w:tcW w:type="dxa" w:w="907"/>
            <w:shd w:val="clear" w:color="auto" w:fill="F2F6FA"/>
          </w:tcPr>
          <w:p>
            <w:pPr>
              <w:spacing w:line="264" w:lineRule="auto"/>
            </w:pPr>
            <w:r/>
            <w:r>
              <w:rPr>
                <w:rFonts w:ascii="Calibri" w:hAnsi="Calibri" w:cs="Calibri"/>
                <w:sz w:val="18"/>
              </w:rPr>
              <w:t>MoC-2</w:t>
            </w:r>
          </w:p>
        </w:tc>
        <w:tc>
          <w:tcPr>
            <w:tcW w:type="dxa" w:w="1304"/>
            <w:shd w:val="clear" w:color="auto" w:fill="F2F6FA"/>
          </w:tcPr>
          <w:p>
            <w:pPr>
              <w:spacing w:line="264" w:lineRule="auto"/>
            </w:pPr>
            <w:r/>
            <w:r>
              <w:rPr>
                <w:rFonts w:ascii="Calibri" w:hAnsi="Calibri" w:cs="Calibri"/>
                <w:sz w:val="18"/>
              </w:rPr>
              <w:t>Karşılandı</w:t>
            </w:r>
          </w:p>
        </w:tc>
        <w:tc>
          <w:tcPr>
            <w:tcW w:type="dxa" w:w="2891"/>
            <w:shd w:val="clear" w:color="auto" w:fill="F2F6FA"/>
          </w:tcPr>
          <w:p>
            <w:pPr>
              <w:spacing w:line="264" w:lineRule="auto"/>
            </w:pPr>
            <w:r/>
            <w:r>
              <w:rPr>
                <w:rFonts w:ascii="Calibri" w:hAnsi="Calibri" w:cs="Calibri"/>
                <w:sz w:val="18"/>
              </w:rPr>
              <w:t>v4: 0,6751; 3 koşuda tekrarlandı (Tablo 4.1)</w:t>
            </w:r>
          </w:p>
        </w:tc>
      </w:tr>
      <w:tr>
        <w:trPr>
          <w:cantSplit/>
        </w:trPr>
        <w:tc>
          <w:tcPr>
            <w:tcW w:type="dxa" w:w="850"/>
            <w:shd w:val="clear" w:color="auto" w:fill="F2F6FA"/>
          </w:tcPr>
          <w:p>
            <w:pPr>
              <w:spacing w:line="264" w:lineRule="auto"/>
            </w:pPr>
            <w:r/>
            <w:r>
              <w:rPr>
                <w:rFonts w:ascii="Calibri" w:hAnsi="Calibri" w:cs="Calibri"/>
                <w:sz w:val="18"/>
              </w:rPr>
              <w:t>G-SW-09</w:t>
            </w:r>
          </w:p>
        </w:tc>
        <w:tc>
          <w:tcPr>
            <w:tcW w:type="dxa" w:w="1020"/>
            <w:shd w:val="clear" w:color="auto" w:fill="F2F6FA"/>
          </w:tcPr>
          <w:p>
            <w:pPr>
              <w:spacing w:line="264" w:lineRule="auto"/>
            </w:pPr>
            <w:r/>
            <w:r>
              <w:rPr>
                <w:rFonts w:ascii="Calibri" w:hAnsi="Calibri" w:cs="Calibri"/>
                <w:sz w:val="18"/>
              </w:rPr>
              <w:t>ISM bandı</w:t>
            </w:r>
          </w:p>
        </w:tc>
        <w:tc>
          <w:tcPr>
            <w:tcW w:type="dxa" w:w="2665"/>
            <w:shd w:val="clear" w:color="auto" w:fill="F2F6FA"/>
          </w:tcPr>
          <w:p>
            <w:pPr>
              <w:spacing w:line="264" w:lineRule="auto"/>
            </w:pPr>
            <w:r/>
            <w:r>
              <w:rPr>
                <w:rFonts w:ascii="Calibri" w:hAnsi="Calibri" w:cs="Calibri"/>
                <w:sz w:val="18"/>
              </w:rPr>
              <w:t>Frekans bandı yasal ISM bandına uygun olmalı.</w:t>
            </w:r>
          </w:p>
        </w:tc>
        <w:tc>
          <w:tcPr>
            <w:tcW w:type="dxa" w:w="907"/>
            <w:shd w:val="clear" w:color="auto" w:fill="F2F6FA"/>
          </w:tcPr>
          <w:p>
            <w:pPr>
              <w:spacing w:line="264" w:lineRule="auto"/>
            </w:pPr>
            <w:r/>
            <w:r>
              <w:rPr>
                <w:rFonts w:ascii="Calibri" w:hAnsi="Calibri" w:cs="Calibri"/>
                <w:sz w:val="18"/>
              </w:rPr>
              <w:t>MoC-1, 3</w:t>
            </w:r>
          </w:p>
        </w:tc>
        <w:tc>
          <w:tcPr>
            <w:tcW w:type="dxa" w:w="1304"/>
            <w:shd w:val="clear" w:color="auto" w:fill="F2F6FA"/>
          </w:tcPr>
          <w:p>
            <w:pPr>
              <w:spacing w:line="264" w:lineRule="auto"/>
            </w:pPr>
            <w:r/>
            <w:r>
              <w:rPr>
                <w:rFonts w:ascii="Calibri" w:hAnsi="Calibri" w:cs="Calibri"/>
                <w:sz w:val="18"/>
              </w:rPr>
              <w:t>Karşılandı</w:t>
            </w:r>
          </w:p>
        </w:tc>
        <w:tc>
          <w:tcPr>
            <w:tcW w:type="dxa" w:w="2891"/>
            <w:shd w:val="clear" w:color="auto" w:fill="F2F6FA"/>
          </w:tcPr>
          <w:p>
            <w:pPr>
              <w:spacing w:line="264" w:lineRule="auto"/>
            </w:pPr>
            <w:r/>
            <w:r>
              <w:rPr>
                <w:rFonts w:ascii="Calibri" w:hAnsi="Calibri" w:cs="Calibri"/>
                <w:sz w:val="18"/>
              </w:rPr>
              <w:t>433 MHz; NetID 25/26 ile hat ayrımı</w:t>
            </w:r>
          </w:p>
        </w:tc>
      </w:tr>
      <w:tr>
        <w:trPr>
          <w:cantSplit/>
        </w:trPr>
        <w:tc>
          <w:tcPr>
            <w:tcW w:type="dxa" w:w="850"/>
            <w:shd w:val="clear" w:color="auto" w:fill="F2F6FA"/>
          </w:tcPr>
          <w:p>
            <w:pPr>
              <w:spacing w:line="264" w:lineRule="auto"/>
            </w:pPr>
            <w:r/>
            <w:r>
              <w:rPr>
                <w:rFonts w:ascii="Calibri" w:hAnsi="Calibri" w:cs="Calibri"/>
                <w:sz w:val="18"/>
              </w:rPr>
              <w:t>G-SW-10</w:t>
            </w:r>
          </w:p>
        </w:tc>
        <w:tc>
          <w:tcPr>
            <w:tcW w:type="dxa" w:w="1020"/>
            <w:shd w:val="clear" w:color="auto" w:fill="F2F6FA"/>
          </w:tcPr>
          <w:p>
            <w:pPr>
              <w:spacing w:line="264" w:lineRule="auto"/>
            </w:pPr>
            <w:r/>
            <w:r>
              <w:rPr>
                <w:rFonts w:ascii="Calibri" w:hAnsi="Calibri" w:cs="Calibri"/>
                <w:sz w:val="18"/>
              </w:rPr>
              <w:t>6.2</w:t>
            </w:r>
          </w:p>
        </w:tc>
        <w:tc>
          <w:tcPr>
            <w:tcW w:type="dxa" w:w="2665"/>
            <w:shd w:val="clear" w:color="auto" w:fill="F2F6FA"/>
          </w:tcPr>
          <w:p>
            <w:pPr>
              <w:spacing w:line="264" w:lineRule="auto"/>
            </w:pPr>
            <w:r/>
            <w:r>
              <w:rPr>
                <w:rFonts w:ascii="Calibri" w:hAnsi="Calibri" w:cs="Calibri"/>
                <w:sz w:val="18"/>
              </w:rPr>
              <w:t>İHA ve İKA görev boyunca tam otonom çalışmalı.</w:t>
            </w:r>
          </w:p>
        </w:tc>
        <w:tc>
          <w:tcPr>
            <w:tcW w:type="dxa" w:w="907"/>
            <w:shd w:val="clear" w:color="auto" w:fill="F2F6FA"/>
          </w:tcPr>
          <w:p>
            <w:pPr>
              <w:spacing w:line="264" w:lineRule="auto"/>
            </w:pPr>
            <w:r/>
            <w:r>
              <w:rPr>
                <w:rFonts w:ascii="Calibri" w:hAnsi="Calibri" w:cs="Calibri"/>
                <w:sz w:val="18"/>
              </w:rPr>
              <w:t>MoC-2, 4</w:t>
            </w:r>
          </w:p>
        </w:tc>
        <w:tc>
          <w:tcPr>
            <w:tcW w:type="dxa" w:w="1304"/>
            <w:shd w:val="clear" w:color="auto" w:fill="F2F6FA"/>
          </w:tcPr>
          <w:p>
            <w:pPr>
              <w:spacing w:line="264" w:lineRule="auto"/>
            </w:pPr>
            <w:r/>
            <w:r>
              <w:rPr>
                <w:rFonts w:ascii="Calibri" w:hAnsi="Calibri" w:cs="Calibri"/>
                <w:sz w:val="18"/>
              </w:rPr>
              <w:t>Devam Ediyor</w:t>
            </w:r>
          </w:p>
        </w:tc>
        <w:tc>
          <w:tcPr>
            <w:tcW w:type="dxa" w:w="2891"/>
            <w:shd w:val="clear" w:color="auto" w:fill="F2F6FA"/>
          </w:tcPr>
          <w:p>
            <w:pPr>
              <w:spacing w:line="264" w:lineRule="auto"/>
            </w:pPr>
            <w:r/>
            <w:r>
              <w:rPr>
                <w:rFonts w:ascii="Calibri" w:hAnsi="Calibri" w:cs="Calibri"/>
                <w:sz w:val="18"/>
              </w:rPr>
              <w:t>Otonom akış kurgulandı; uçuş/sürüş demonstrasyonu FDA'da</w:t>
            </w:r>
          </w:p>
        </w:tc>
      </w:tr>
    </w:tbl>
    <w:p>
      <w:pPr>
        <w:spacing w:line="276" w:lineRule="auto"/>
        <w:jc w:val="center"/>
      </w:pPr>
      <w:r>
        <w:rPr>
          <w:rFonts w:ascii="Calibri" w:hAnsi="Calibri" w:cs="Calibri"/>
          <w:b/>
          <w:sz w:val="22"/>
        </w:rPr>
        <w:t>Tablo 5.2. Yazılım/algı/haberleşme gereksinim izlenebilirlik matrisi</w:t>
      </w:r>
    </w:p>
    <w:p>
      <w:pPr>
        <w:spacing w:line="276" w:lineRule="auto"/>
        <w:jc w:val="both"/>
      </w:pPr>
      <w:r>
        <w:rPr>
          <w:rFonts w:ascii="Calibri" w:hAnsi="Calibri" w:cs="Calibri"/>
          <w:b/>
          <w:sz w:val="22"/>
        </w:rPr>
        <w:t xml:space="preserve">Karşılanma Durumu Değerlendirmesi. </w:t>
      </w:r>
      <w:r>
        <w:rPr>
          <w:rFonts w:ascii="Calibri" w:hAnsi="Calibri" w:cs="Calibri"/>
          <w:b w:val="0"/>
          <w:sz w:val="22"/>
        </w:rPr>
        <w:t>On gereksinimin beşi (%50) yazılım/arayüz seviyesinde tam olarak karşılanmış ve doğrulanmıştır. Dördü (%40) yazılım seviyesinde kanıtlanmış olup yalnızca gerçek donanım ve saha koşullarında (İHA kamerası, 433 MHz RF menzili, tam otonom uçuş/sürüş demonstrasyonu) tamamlanmayı beklemektedir. Biri (%10) açık madde olarak işaretlenmiş ve somut bir kapatma planına bağlanmıştır (Şekil 5.1). Bu dağılım, hiçbir gereksinimin plansız veya karşılanamaz durumda olmadığını; "devam eden" maddelerin tümünün yazılım seviyesinde kanıtlandığını ve yalnızca saha/donanım doğrulaması beklediğini göstermektedir.</w:t>
      </w:r>
    </w:p>
    <w:p>
      <w:pPr>
        <w:jc w:val="center"/>
        <w:keepNext/>
      </w:pPr>
      <w:r>
        <w:drawing>
          <wp:inline>
            <wp:extent cx="4140000" cy="2871290"/>
            <wp:docPr id="2" name="Picture 2"/>
            <wp:cNvGraphicFramePr>
              <a:graphicFrameLocks noChangeAspect="1"/>
            </wp:cNvGraphicFramePr>
            <a:graphic>
              <a:graphicData uri="http://schemas.openxmlformats.org/drawingml/2006/picture">
                <pic:pic>
                  <pic:nvPicPr>
                    <pic:cNvPr id="0" name="Sekil_5.1_gereksinim_izlenebilirlik_dagilimi.png"/>
                    <pic:cNvPicPr/>
                  </pic:nvPicPr>
                  <pic:blipFill>
                    <a:blip r:embed="rId25"/>
                    <a:stretch>
                      <a:fillRect/>
                    </a:stretch>
                  </pic:blipFill>
                  <pic:spPr>
                    <a:xfrm>
                      <a:off x="0" y="0"/>
                      <a:ext cx="4140000" cy="2871290"/>
                    </a:xfrm>
                    <a:prstGeom prst="rect"/>
                  </pic:spPr>
                </pic:pic>
              </a:graphicData>
            </a:graphic>
          </wp:inline>
        </w:drawing>
      </w:r>
    </w:p>
    <w:p>
      <w:pPr>
        <w:spacing w:line="276" w:lineRule="auto"/>
        <w:jc w:val="center"/>
      </w:pPr>
      <w:r>
        <w:rPr>
          <w:rFonts w:ascii="Calibri" w:hAnsi="Calibri" w:cs="Calibri"/>
          <w:b/>
          <w:sz w:val="22"/>
        </w:rPr>
        <w:t>Şekil 5.1. Yazılım/algı/haberleşme gereksinimlerinin karşılanma durumu dağılımı (n=10)</w:t>
      </w:r>
    </w:p>
    <w:p>
      <w:pPr>
        <w:spacing w:line="276" w:lineRule="auto"/>
        <w:jc w:val="both"/>
      </w:pPr>
      <w:r>
        <w:rPr>
          <w:rFonts w:ascii="Calibri" w:hAnsi="Calibri" w:cs="Calibri"/>
          <w:b/>
          <w:sz w:val="22"/>
        </w:rPr>
        <w:t xml:space="preserve">Açık Maddeler ve Kapatma Planı. </w:t>
      </w:r>
      <w:r>
        <w:rPr>
          <w:rFonts w:ascii="Calibri" w:hAnsi="Calibri" w:cs="Calibri"/>
          <w:b w:val="0"/>
          <w:sz w:val="22"/>
        </w:rPr>
        <w:t>Doğrulaması devam eden ve açık maddeler için eksik doğrulama faaliyeti, uygulanacak kapatma yöntemi ve hedeflenen tamamlanma aşaması Tablo 5.3'te tanımlanmıştır.</w:t>
      </w:r>
    </w:p>
    <w:tbl>
      <w:tblPr>
        <w:tblStyle w:val="Table1"/>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1701"/>
            <w:shd w:val="clear" w:color="auto" w:fill="1F3864"/>
          </w:tcPr>
          <w:p>
            <w:pPr>
              <w:jc w:val="center"/>
            </w:pPr>
            <w:r/>
            <w:r>
              <w:rPr>
                <w:rFonts w:ascii="Calibri" w:hAnsi="Calibri" w:cs="Calibri"/>
                <w:b/>
                <w:color w:val="FFFFFF"/>
                <w:sz w:val="20"/>
              </w:rPr>
              <w:t>Gereksinim</w:t>
            </w:r>
          </w:p>
        </w:tc>
        <w:tc>
          <w:tcPr>
            <w:tcW w:type="dxa" w:w="2268"/>
            <w:shd w:val="clear" w:color="auto" w:fill="1F3864"/>
          </w:tcPr>
          <w:p>
            <w:pPr>
              <w:jc w:val="center"/>
            </w:pPr>
            <w:r/>
            <w:r>
              <w:rPr>
                <w:rFonts w:ascii="Calibri" w:hAnsi="Calibri" w:cs="Calibri"/>
                <w:b/>
                <w:color w:val="FFFFFF"/>
                <w:sz w:val="20"/>
              </w:rPr>
              <w:t>Eksik Doğrulama</w:t>
            </w:r>
          </w:p>
        </w:tc>
        <w:tc>
          <w:tcPr>
            <w:tcW w:type="dxa" w:w="3628"/>
            <w:shd w:val="clear" w:color="auto" w:fill="1F3864"/>
          </w:tcPr>
          <w:p>
            <w:pPr>
              <w:jc w:val="center"/>
            </w:pPr>
            <w:r/>
            <w:r>
              <w:rPr>
                <w:rFonts w:ascii="Calibri" w:hAnsi="Calibri" w:cs="Calibri"/>
                <w:b/>
                <w:color w:val="FFFFFF"/>
                <w:sz w:val="20"/>
              </w:rPr>
              <w:t>Kapatma Yöntemi</w:t>
            </w:r>
          </w:p>
        </w:tc>
        <w:tc>
          <w:tcPr>
            <w:tcW w:type="dxa" w:w="1474"/>
            <w:shd w:val="clear" w:color="auto" w:fill="1F3864"/>
          </w:tcPr>
          <w:p>
            <w:pPr>
              <w:jc w:val="center"/>
            </w:pPr>
            <w:r/>
            <w:r>
              <w:rPr>
                <w:rFonts w:ascii="Calibri" w:hAnsi="Calibri" w:cs="Calibri"/>
                <w:b/>
                <w:color w:val="FFFFFF"/>
                <w:sz w:val="20"/>
              </w:rPr>
              <w:t>Hedef Aşama</w:t>
            </w:r>
          </w:p>
        </w:tc>
      </w:tr>
      <w:tr>
        <w:trPr>
          <w:cantSplit/>
        </w:trPr>
        <w:tc>
          <w:tcPr>
            <w:tcW w:type="dxa" w:w="1701"/>
            <w:shd w:val="clear" w:color="auto" w:fill="F2F6FA"/>
          </w:tcPr>
          <w:p>
            <w:pPr>
              <w:spacing w:line="264" w:lineRule="auto"/>
            </w:pPr>
            <w:r/>
            <w:r>
              <w:rPr>
                <w:rFonts w:ascii="Calibri" w:hAnsi="Calibri" w:cs="Calibri"/>
                <w:sz w:val="20"/>
              </w:rPr>
              <w:t>G-SW-01</w:t>
            </w:r>
          </w:p>
        </w:tc>
        <w:tc>
          <w:tcPr>
            <w:tcW w:type="dxa" w:w="2268"/>
            <w:shd w:val="clear" w:color="auto" w:fill="F2F6FA"/>
          </w:tcPr>
          <w:p>
            <w:pPr>
              <w:spacing w:line="264" w:lineRule="auto"/>
            </w:pPr>
            <w:r/>
            <w:r>
              <w:rPr>
                <w:rFonts w:ascii="Calibri" w:hAnsi="Calibri" w:cs="Calibri"/>
                <w:sz w:val="20"/>
              </w:rPr>
              <w:t>Gerçek İHA kamerasıyla doğruluk</w:t>
            </w:r>
          </w:p>
        </w:tc>
        <w:tc>
          <w:tcPr>
            <w:tcW w:type="dxa" w:w="3628"/>
            <w:shd w:val="clear" w:color="auto" w:fill="F2F6FA"/>
          </w:tcPr>
          <w:p>
            <w:pPr>
              <w:spacing w:line="264" w:lineRule="auto"/>
            </w:pPr>
            <w:r/>
            <w:r>
              <w:rPr>
                <w:rFonts w:ascii="Calibri" w:hAnsi="Calibri" w:cs="Calibri"/>
                <w:sz w:val="20"/>
              </w:rPr>
              <w:t>Etiketli görev testi (MoC-2)</w:t>
            </w:r>
          </w:p>
        </w:tc>
        <w:tc>
          <w:tcPr>
            <w:tcW w:type="dxa" w:w="1474"/>
            <w:shd w:val="clear" w:color="auto" w:fill="F2F6FA"/>
          </w:tcPr>
          <w:p>
            <w:pPr>
              <w:spacing w:line="264" w:lineRule="auto"/>
            </w:pPr>
            <w:r/>
            <w:r>
              <w:rPr>
                <w:rFonts w:ascii="Calibri" w:hAnsi="Calibri" w:cs="Calibri"/>
                <w:sz w:val="20"/>
              </w:rPr>
              <w:t>SGGS öncesi</w:t>
            </w:r>
          </w:p>
        </w:tc>
      </w:tr>
      <w:tr>
        <w:trPr>
          <w:cantSplit/>
        </w:trPr>
        <w:tc>
          <w:tcPr>
            <w:tcW w:type="dxa" w:w="1701"/>
            <w:shd w:val="clear" w:color="auto" w:fill="F2F6FA"/>
          </w:tcPr>
          <w:p>
            <w:pPr>
              <w:spacing w:line="264" w:lineRule="auto"/>
            </w:pPr>
            <w:r/>
            <w:r>
              <w:rPr>
                <w:rFonts w:ascii="Calibri" w:hAnsi="Calibri" w:cs="Calibri"/>
                <w:sz w:val="20"/>
              </w:rPr>
              <w:t>G-SW-02 / 06</w:t>
            </w:r>
          </w:p>
        </w:tc>
        <w:tc>
          <w:tcPr>
            <w:tcW w:type="dxa" w:w="2268"/>
            <w:shd w:val="clear" w:color="auto" w:fill="F2F6FA"/>
          </w:tcPr>
          <w:p>
            <w:pPr>
              <w:spacing w:line="264" w:lineRule="auto"/>
            </w:pPr>
            <w:r/>
            <w:r>
              <w:rPr>
                <w:rFonts w:ascii="Calibri" w:hAnsi="Calibri" w:cs="Calibri"/>
                <w:sz w:val="20"/>
              </w:rPr>
              <w:t>Gerçek RF ortamı</w:t>
            </w:r>
          </w:p>
        </w:tc>
        <w:tc>
          <w:tcPr>
            <w:tcW w:type="dxa" w:w="3628"/>
            <w:shd w:val="clear" w:color="auto" w:fill="F2F6FA"/>
          </w:tcPr>
          <w:p>
            <w:pPr>
              <w:spacing w:line="264" w:lineRule="auto"/>
            </w:pPr>
            <w:r/>
            <w:r>
              <w:rPr>
                <w:rFonts w:ascii="Calibri" w:hAnsi="Calibri" w:cs="Calibri"/>
                <w:sz w:val="20"/>
              </w:rPr>
              <w:t>433 MHz saha menzil/güvenilirlik testi (MoC-2)</w:t>
            </w:r>
          </w:p>
        </w:tc>
        <w:tc>
          <w:tcPr>
            <w:tcW w:type="dxa" w:w="1474"/>
            <w:shd w:val="clear" w:color="auto" w:fill="F2F6FA"/>
          </w:tcPr>
          <w:p>
            <w:pPr>
              <w:spacing w:line="264" w:lineRule="auto"/>
            </w:pPr>
            <w:r/>
            <w:r>
              <w:rPr>
                <w:rFonts w:ascii="Calibri" w:hAnsi="Calibri" w:cs="Calibri"/>
                <w:sz w:val="20"/>
              </w:rPr>
              <w:t>UHDR öncesi</w:t>
            </w:r>
          </w:p>
        </w:tc>
      </w:tr>
      <w:tr>
        <w:trPr>
          <w:cantSplit/>
        </w:trPr>
        <w:tc>
          <w:tcPr>
            <w:tcW w:type="dxa" w:w="1701"/>
            <w:shd w:val="clear" w:color="auto" w:fill="F2F6FA"/>
          </w:tcPr>
          <w:p>
            <w:pPr>
              <w:spacing w:line="264" w:lineRule="auto"/>
            </w:pPr>
            <w:r/>
            <w:r>
              <w:rPr>
                <w:rFonts w:ascii="Calibri" w:hAnsi="Calibri" w:cs="Calibri"/>
                <w:sz w:val="20"/>
              </w:rPr>
              <w:t>G-SW-07</w:t>
            </w:r>
          </w:p>
        </w:tc>
        <w:tc>
          <w:tcPr>
            <w:tcW w:type="dxa" w:w="2268"/>
            <w:shd w:val="clear" w:color="auto" w:fill="F2F6FA"/>
          </w:tcPr>
          <w:p>
            <w:pPr>
              <w:spacing w:line="264" w:lineRule="auto"/>
            </w:pPr>
            <w:r/>
            <w:r>
              <w:rPr>
                <w:rFonts w:ascii="Calibri" w:hAnsi="Calibri" w:cs="Calibri"/>
                <w:sz w:val="20"/>
              </w:rPr>
              <w:t>Payload bütünlük alanı</w:t>
            </w:r>
          </w:p>
        </w:tc>
        <w:tc>
          <w:tcPr>
            <w:tcW w:type="dxa" w:w="3628"/>
            <w:shd w:val="clear" w:color="auto" w:fill="F2F6FA"/>
          </w:tcPr>
          <w:p>
            <w:pPr>
              <w:spacing w:line="264" w:lineRule="auto"/>
            </w:pPr>
            <w:r/>
            <w:r>
              <w:rPr>
                <w:rFonts w:ascii="Calibri" w:hAnsi="Calibri" w:cs="Calibri"/>
                <w:sz w:val="20"/>
              </w:rPr>
              <w:t>OPEN_ROUTE'a CRC16/hash ekleme + bit-hata testi</w:t>
            </w:r>
          </w:p>
        </w:tc>
        <w:tc>
          <w:tcPr>
            <w:tcW w:type="dxa" w:w="1474"/>
            <w:shd w:val="clear" w:color="auto" w:fill="F2F6FA"/>
          </w:tcPr>
          <w:p>
            <w:pPr>
              <w:spacing w:line="264" w:lineRule="auto"/>
            </w:pPr>
            <w:r/>
            <w:r>
              <w:rPr>
                <w:rFonts w:ascii="Calibri" w:hAnsi="Calibri" w:cs="Calibri"/>
                <w:sz w:val="20"/>
              </w:rPr>
              <w:t>FDR öncesi</w:t>
            </w:r>
          </w:p>
        </w:tc>
      </w:tr>
      <w:tr>
        <w:trPr>
          <w:cantSplit/>
        </w:trPr>
        <w:tc>
          <w:tcPr>
            <w:tcW w:type="dxa" w:w="1701"/>
            <w:shd w:val="clear" w:color="auto" w:fill="F2F6FA"/>
          </w:tcPr>
          <w:p>
            <w:pPr>
              <w:spacing w:line="264" w:lineRule="auto"/>
            </w:pPr>
            <w:r/>
            <w:r>
              <w:rPr>
                <w:rFonts w:ascii="Calibri" w:hAnsi="Calibri" w:cs="Calibri"/>
                <w:sz w:val="20"/>
              </w:rPr>
              <w:t>G-SW-10</w:t>
            </w:r>
          </w:p>
        </w:tc>
        <w:tc>
          <w:tcPr>
            <w:tcW w:type="dxa" w:w="2268"/>
            <w:shd w:val="clear" w:color="auto" w:fill="F2F6FA"/>
          </w:tcPr>
          <w:p>
            <w:pPr>
              <w:spacing w:line="264" w:lineRule="auto"/>
            </w:pPr>
            <w:r/>
            <w:r>
              <w:rPr>
                <w:rFonts w:ascii="Calibri" w:hAnsi="Calibri" w:cs="Calibri"/>
                <w:sz w:val="20"/>
              </w:rPr>
              <w:t>Tam otonom uçuş/sürüş</w:t>
            </w:r>
          </w:p>
        </w:tc>
        <w:tc>
          <w:tcPr>
            <w:tcW w:type="dxa" w:w="3628"/>
            <w:shd w:val="clear" w:color="auto" w:fill="F2F6FA"/>
          </w:tcPr>
          <w:p>
            <w:pPr>
              <w:spacing w:line="264" w:lineRule="auto"/>
            </w:pPr>
            <w:r/>
            <w:r>
              <w:rPr>
                <w:rFonts w:ascii="Calibri" w:hAnsi="Calibri" w:cs="Calibri"/>
                <w:sz w:val="20"/>
              </w:rPr>
              <w:t>Gizli-seed E2E simülasyon + uçuş demonstrasyonu (MoC-2/4)</w:t>
            </w:r>
          </w:p>
        </w:tc>
        <w:tc>
          <w:tcPr>
            <w:tcW w:type="dxa" w:w="1474"/>
            <w:shd w:val="clear" w:color="auto" w:fill="F2F6FA"/>
          </w:tcPr>
          <w:p>
            <w:pPr>
              <w:spacing w:line="264" w:lineRule="auto"/>
            </w:pPr>
            <w:r/>
            <w:r>
              <w:rPr>
                <w:rFonts w:ascii="Calibri" w:hAnsi="Calibri" w:cs="Calibri"/>
                <w:sz w:val="20"/>
              </w:rPr>
              <w:t>FDA</w:t>
            </w:r>
          </w:p>
        </w:tc>
      </w:tr>
    </w:tbl>
    <w:p>
      <w:pPr>
        <w:spacing w:line="276" w:lineRule="auto"/>
        <w:jc w:val="center"/>
      </w:pPr>
      <w:r>
        <w:rPr>
          <w:rFonts w:ascii="Calibri" w:hAnsi="Calibri" w:cs="Calibri"/>
          <w:b/>
          <w:sz w:val="22"/>
        </w:rPr>
        <w:t>Tablo 5.3. Açık ve doğrulaması devam eden maddeler — kapatma planı</w:t>
      </w:r>
    </w:p>
    <w:p>
      <w:pPr>
        <w:spacing w:line="276" w:lineRule="auto"/>
        <w:jc w:val="left"/>
      </w:pPr>
      <w:r>
        <w:rPr>
          <w:rFonts w:ascii="Calibri" w:hAnsi="Calibri" w:cs="Calibri"/>
          <w:b/>
          <w:sz w:val="22"/>
        </w:rPr>
        <w:t>Kaynakça</w:t>
      </w:r>
    </w:p>
    <w:p>
      <w:pPr>
        <w:spacing w:line="276" w:lineRule="auto"/>
        <w:jc w:val="left"/>
      </w:pPr>
      <w:r>
        <w:rPr>
          <w:rFonts w:ascii="Calibri" w:hAnsi="Calibri" w:cs="Calibri"/>
          <w:b w:val="0"/>
          <w:sz w:val="22"/>
        </w:rPr>
        <w:t>[1] İleri Otonom Sistemler Tasarım ve Operasyon Yarışması Şartnamesi (madde 2.2.2–2.2.6, 6.2, 6.4).</w:t>
      </w:r>
    </w:p>
    <w:p>
      <w:pPr>
        <w:spacing w:line="276" w:lineRule="auto"/>
        <w:jc w:val="left"/>
      </w:pPr>
      <w:r>
        <w:rPr>
          <w:rFonts w:ascii="Calibri" w:hAnsi="Calibri" w:cs="Calibri"/>
          <w:b w:val="0"/>
          <w:sz w:val="22"/>
        </w:rPr>
        <w:t>[2] navitas26/navitas GitHub deposu (private) — comms/protocol.py, comms/test_comms.py, comms/yks_gui.py.</w:t>
      </w:r>
    </w:p>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1417" w:top="1417" w:left="1417" w:right="141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jc w:val="center"/>
      <w:rPr/>
    </w:pPr>
    <w:r w:rsidDel="00000000" w:rsidR="00000000" w:rsidRPr="00000000">
      <w:rPr>
        <w:rFonts w:ascii="Calibri" w:cs="Calibri" w:eastAsia="Calibri" w:hAnsi="Calibri"/>
        <w:b w:val="1"/>
        <w:bCs w:val="1"/>
        <w:sz w:val="22"/>
        <w:szCs w:val="22"/>
        <w:rtl w:val="0"/>
      </w:rPr>
      <w:t xml:space="preserve">TASNİF DIŞI – Sayfa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2"/>
        <w:szCs w:val="22"/>
        <w:rtl w:val="0"/>
      </w:rPr>
      <w:t xml:space="preserve"> /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center"/>
      <w:rPr/>
    </w:pPr>
    <w:r w:rsidDel="00000000" w:rsidR="00000000" w:rsidRPr="00000000">
      <w:rPr>
        <w:rFonts w:ascii="Calibri" w:cs="Calibri" w:eastAsia="Calibri" w:hAnsi="Calibri"/>
        <w:b w:val="1"/>
        <w:bCs w:val="1"/>
        <w:sz w:val="22"/>
        <w:szCs w:val="22"/>
        <w:rtl w:val="0"/>
      </w:rPr>
      <w:t xml:space="preserve">TASNİF DIŞI – Sayfa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2"/>
        <w:szCs w:val="22"/>
        <w:rtl w:val="0"/>
      </w:rPr>
      <w:t xml:space="preserve"> /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center"/>
      <w:rPr/>
    </w:pPr>
    <w:r w:rsidDel="00000000" w:rsidR="00000000" w:rsidRPr="00000000">
      <w:rPr>
        <w:rFonts w:ascii="Calibri" w:cs="Calibri" w:eastAsia="Calibri" w:hAnsi="Calibri"/>
        <w:b w:val="1"/>
        <w:bCs w:val="1"/>
        <w:sz w:val="22"/>
        <w:szCs w:val="22"/>
        <w:rtl w:val="0"/>
      </w:rPr>
      <w:t xml:space="preserve">TASNİF DIŞI</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center"/>
      <w:rPr/>
    </w:pPr>
    <w:r w:rsidDel="00000000" w:rsidR="00000000" w:rsidRPr="00000000">
      <w:rPr>
        <w:rFonts w:ascii="Calibri" w:cs="Calibri" w:eastAsia="Calibri" w:hAnsi="Calibri"/>
        <w:b w:val="1"/>
        <w:bCs w:val="1"/>
        <w:sz w:val="22"/>
        <w:szCs w:val="22"/>
        <w:rtl w:val="0"/>
      </w:rPr>
      <w:t xml:space="preserve">TASNİF DIŞI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320" w:line="276" w:lineRule="auto"/>
    </w:pPr>
    <w:rPr>
      <w:rFonts w:ascii="Calibri" w:cs="Calibri" w:eastAsia="Calibri" w:hAnsi="Calibri"/>
      <w:b w:val="1"/>
      <w:bCs w:val="1"/>
      <w:sz w:val="28"/>
      <w:szCs w:val="28"/>
    </w:rPr>
  </w:style>
  <w:style w:type="paragraph" w:styleId="Heading2">
    <w:name w:val="heading 2"/>
    <w:basedOn w:val="Normal"/>
    <w:next w:val="Normal"/>
    <w:pPr>
      <w:keepNext w:val="1"/>
      <w:spacing w:after="140" w:before="260" w:line="276" w:lineRule="auto"/>
    </w:pPr>
    <w:rPr>
      <w:rFonts w:ascii="Calibri" w:cs="Calibri" w:eastAsia="Calibri" w:hAnsi="Calibri"/>
      <w:b w:val="1"/>
      <w:bCs w:val="1"/>
      <w:sz w:val="24"/>
      <w:szCs w:val="24"/>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15.0" w:type="dxa"/>
        <w:bottom w:w="80.0" w:type="dxa"/>
        <w:right w:w="115.0" w:type="dxa"/>
      </w:tblCellMar>
    </w:tblPr>
  </w:style>
  <w:style w:type="table" w:styleId="Table2">
    <w:basedOn w:val="TableNormal"/>
    <w:tblPr>
      <w:tblStyleRowBandSize w:val="1"/>
      <w:tblStyleColBandSize w:val="1"/>
      <w:tblCellMar>
        <w:top w:w="80.0" w:type="dxa"/>
        <w:left w:w="115.0" w:type="dxa"/>
        <w:bottom w:w="8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80.0" w:type="dxa"/>
        <w:left w:w="115.0" w:type="dxa"/>
        <w:bottom w:w="80.0" w:type="dxa"/>
        <w:right w:w="115.0" w:type="dxa"/>
      </w:tblCellMar>
    </w:tblPr>
  </w:style>
  <w:style w:type="table" w:styleId="Table9">
    <w:basedOn w:val="TableNormal"/>
    <w:tblPr>
      <w:tblStyleRowBandSize w:val="1"/>
      <w:tblStyleColBandSize w:val="1"/>
      <w:tblCellMar>
        <w:top w:w="80.0" w:type="dxa"/>
        <w:left w:w="115.0" w:type="dxa"/>
        <w:bottom w:w="8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80.0" w:type="dxa"/>
        <w:left w:w="115.0" w:type="dxa"/>
        <w:bottom w:w="80.0" w:type="dxa"/>
        <w:right w:w="115.0" w:type="dxa"/>
      </w:tblCellMar>
    </w:tblPr>
  </w:style>
  <w:style w:type="table" w:styleId="Table12">
    <w:basedOn w:val="TableNormal"/>
    <w:tblPr>
      <w:tblStyleRowBandSize w:val="1"/>
      <w:tblStyleColBandSize w:val="1"/>
      <w:tblCellMar>
        <w:top w:w="80.0" w:type="dxa"/>
        <w:left w:w="115.0" w:type="dxa"/>
        <w:bottom w:w="80.0" w:type="dxa"/>
        <w:right w:w="115.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jpg"/><Relationship Id="rId22" Type="http://schemas.openxmlformats.org/officeDocument/2006/relationships/footer" Target="footer3.xml"/><Relationship Id="rId10" Type="http://schemas.openxmlformats.org/officeDocument/2006/relationships/image" Target="media/image11.png"/><Relationship Id="rId21"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2.png"/><Relationship Id="rId18" Type="http://schemas.openxmlformats.org/officeDocument/2006/relationships/header" Target="header2.xml"/><Relationship Id="rId7" Type="http://schemas.openxmlformats.org/officeDocument/2006/relationships/image" Target="media/image10.png"/><Relationship Id="rId8" Type="http://schemas.openxmlformats.org/officeDocument/2006/relationships/image" Target="media/image2.png"/><Relationship Id="rId24" Type="http://schemas.openxmlformats.org/officeDocument/2006/relationships/image" Target="media/image13.jp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