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E4D8C"/>
          <w:sz w:val="44"/>
          <w:szCs w:val="44"/>
        </w:rPr>
        <w:t xml:space="preserve">ESG Lens — Full Build To-Do List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 phases · ordered by revenue priority · Law-a-thon 2026</w:t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🔐  Phase 1 — Authentication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Blocks everything. No users = no product. Do this first.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▸ Setup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npm install @clerk/nextjs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CLERK_PUBLISHABLE_KEY and CLERK_SECRET_KEY to .env.local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NEXT_PUBLIC_CLERK_PUBLISHABLE_KEY to .env.local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Wrap the entire app in &lt;ClerkProvider&gt; inside app/layout.tsx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Create middleware.ts in the project root to protect routes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Set publicRoutes: ["/", "/sign-in", "/sign-up", "/pricing"] in middleware config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▸ Pages to build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/sign-in — email + password fields, Google OAuth button, "Forgot password" link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/sign-up — name, email, password, confirm password, terms checkbox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/forgot-password — email input, "Send reset link" button, confirmation message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▸ Components to update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Replace static user avatar in Header.tsx with Clerk's &lt;UserButton /&gt; component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UserButton dropdown should show: My Account, Billing, Sign Out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"Sign In to Save Results" banner on /analysis page for logged-out users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redirect: after sign-up → /analysis, after sign-in → last visited page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redirect: unauthenticated access to any protected route → /sign-in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▸ Test checklist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Sign up with a real email and confirm it works end-to-end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Sign in with Google OAuth and confirm session persists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Visit /dashboard while logged out and confirm redirect to /sign-in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Sign out and confirm session is cleared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🗄️  Phase 2 — Database &amp; Persistence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Without this, every analysis disappears on refresh. Nothing is saved.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▸ Supabase setup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Create free project at supabase.com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npm install @supabase/supabase-js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SUPABASE_URL and SUPABASE_ANON_KEY to .env.local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Create lib/supabase.ts with createClient helper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▸ Database tables to create (in Supabase SQL editor)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users — id (uuid), email, name, created_at, plan (text: free/pro/enterprise)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analyses — id, user_id (fk → users), claim_text, risk_score (int), risk_category (text), detected_keywords (jsonb), matched_cases (jsonb), recommendations (jsonb), created_at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documents — id, user_id (fk → users), filename, file_size, file_type, analysis_id (fk → analyses), created_at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Row Level Security (RLS) policies: users can only read/write their own rows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▸ API routes to build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POST /api/analyses/save — called after scoring completes, saves full result to DB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GET /api/analyses — returns all analyses for the logged-in user, sorted newest first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GET /api/analyses/[id] — returns a single saved analysis by ID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DELETE /api/analyses/[id] — deletes one analysis (user must own it)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▸ New pages to build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/history — grid of past analysis cards (score badge, date, first 80 chars of claim, View button)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/history/[id] — shows full saved result with same layout as current live result screen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▸ Sidebar update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"Analysis History" link to Sidebar.tsx with clock icon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Show count badge on sidebar link (e.g. "12 analyses")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▸ Test checklist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Run an analysis while logged in and confirm it appears in /history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Refresh /history and confirm the analysis is still there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Click View on a saved analysis and confirm all fields render correctly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Log in as a different user and confirm you cannot see the first user's analyses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E651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⚖️  Phase 3 — Fix Keyword Scoring Algorithm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Current formula is flat (count × 14). Any legal expert will see through it immediately.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▸ File to edit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Find RED_FLAG_KEYWORDS definition — likely in lib/analysis.ts or app/api/analyze/route.ts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▸ Code changes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Replace flat string array with weighted object: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"carbon neutral": 3,  "net zero": 3,  "carbon negative": 3,  "climate positive": 3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"carbon free": 2,  "climate neutral": 2,  "emissions free": 2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"science-based target": 2,  "carbon credit": 2,  "REDD+": 2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"offset": 1,  "sustainable": 1,  "green certified": 1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New formula: sum of matched weights × 8, capped at 100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keywordScore = Math.min(100, totalWeight * 8)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Update breakdown panel to show "X high-risk terms, Y medium-risk terms" not just a count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tooltip explaining what makes a term high-risk vs medium-risk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▸ Test cases (run these manually after the change)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Input: "We are a sustainable company" → keyword score should be low (≤ 10)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Input: "Our product is carbon neutral via certified offsets" → keyword score medium (30–50)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Input: "Net zero by 2030 through REDD+ carbon credits" → keyword score high (80+)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Confirm same inputs now score differently than they did before the fix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B71C1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📁  Phase 4 — Expand Case Law Folder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2 documents exist, both about Lufthansa. The live injection feature is currently useless.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▸ Folder location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All files go in /Case Law/ in the repo root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Keep existing Lufthansa files — add these alongside them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▸ Documents to create (one .txt file per case)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SHELL-NL-2021.txt — Shell Netherlands, District Court of The Hague, 45% emission reduction ordered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RYANAIR-ASA-2020.txt — Ryanair ASA UK advertising ban, "lowest emissions" claim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DWS-SEC-2023.txt — Deutsche Bank DWS €19M fine, SFDR Article 4 violation, CEO resigned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VW-EU-2022.txt — Volkswagen Dieselgate extended liability, misleading eco-labelling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KARIBA-REDD-2023.txt — Kariba REDD+ invalidation by Verra, &gt;50% credits revoked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SHELL-CE-2023.txt — Shell ClientEarth challenge, "carbon neutral" product labelling withdrawn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KLM-RCC-2023.txt — KLM "Fly Responsibly" Dutch advertising ban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▸ Required content in EVERY document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2–3 paragraph case background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The exact marketing claim that triggered enforcement (quoted)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The court or authority's finding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Which regulation was violated and which specific article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The outcome and penalty amount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Keywords in both English and Turkish for the TF-relevance selector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Comparison to equivalent Turkish law (TKHK / Reklam Yönetmeliği) where applicable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4A14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📚  Phase 5 — Expand Structured Case Database (8 → 30+)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8 cases is too thin for a professional legal tool. 30 is minimum viable.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▸ File to edit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Find CASE_LAW_DATABASE — likely in lib/cases.ts or similar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▸ Cases to research and encode (priority order)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H&amp;M Conscious Collection — Netherlands 2022 — misleading eco-labelling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TotalEnergies — France 2023 — "Net Zero by 2050" claim challenged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HSBC — UK 2022 — "climate solutions" advertising banned by ASA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Etihad Airways — UK 2023 — carbon offset advertising banned by ASA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Arla Foods — UK 2022 — "net zero dairy" claim banned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Innocent Drinks — UK 2023 — "helping build a sustainable future" banned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Persil / Unilever — UK 2022 — "kinder to the planet" claim banned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Primark — UK 2022 — "Cares" sustainable fashion range challenged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BMW — Germany 2022 — "zero emissions" for hybrid vehicle misleading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Alpro oat milk — Belgium 2022 — "sustainable choice" without evidence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Alpina Sports — Switzerland 2022 — unsubstantiated green product claims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Oatly — Sweden 2022 — carbon footprint labelling dispute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▸ Required fields per case object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id — unique string (e.g. HM-NL-2022)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caseName — full descriptive name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year — number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jurisdiction — country / authority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defendant — company name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claimMade — the exact marketing claim (quoted)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violationReason — court's or authority's finding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regulationCited — specific regulation and article number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outcome — fine amount, ban, withdrawal, injunction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keywords[] — 5–8 terms used for matching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similarityThreshold — 60–95 based on specificity of the claim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🇹🇷  Phase 6 — Add Turkish Law Coverage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report explicitly flags this as a known gap. Your target market is Turkish teams.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▸ Research needed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Read TKHK (Tüketicinin Korunması Hakkında Kanun) Articles 61 and 62 on misleading advertising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Read Reklam Yönetmeliği (Turkish Advertising Regulation) — misleading environmental claims provisions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Search reklam.gov.tr for Reklam Kurulu decisions involving green/environmental claims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Find at least 2–3 Turkish enforcement cases to encode as structured case objects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▸ Code changes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"TR" as a valid jurisdiction value in the case type definition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optional "turkishLawReference" field to the case object schema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Turkish translations of all existing keywords to the keyword arrays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Ensure the ENV_VOCAB regex already covers Turkish terms (check the report says it does)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▸ Prompt update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TKHK Article 61/62 to the §2 Legal Framework section of the OpenAI system prompt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Reklam Yönetmeliği to the §2 Legal Framework section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instruction: "When the claim appears to be from a Turkish company, cite equivalent Turkish law alongside EU law"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558B2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558B2F"/>
          <w:sz w:val="28"/>
          <w:szCs w:val="28"/>
        </w:rPr>
        <w:t xml:space="preserve">🌱  Phase 7 — Fix Unknown Offset Project Handling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Currently silently ignores any offset project not in the 6-project database.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8B2F"/>
          <w:sz w:val="20"/>
          <w:szCs w:val="20"/>
        </w:rPr>
        <w:t xml:space="preserve">▸ Detection logic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a list of project-type keywords: REDD+, reforestation, cookstoves, solar, wind, methane, biochar, blue carbon, mangrove, DAC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After offset matching: if a project name is detected in the claim but not matched in the DB, flag it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Log the unmatched project name in the API response as unknownOffsetProject: "[name]"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8B2F"/>
          <w:sz w:val="20"/>
          <w:szCs w:val="20"/>
        </w:rPr>
        <w:t xml:space="preserve">▸ Fallback scoring by project type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REDD+ type (unverified) → default score 40/100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Renewable energy type (unverified) → default score 70/100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Cookstoves / clean energy type (unverified) → default score 55/100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Unknown type → default score 35/100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8B2F"/>
          <w:sz w:val="20"/>
          <w:szCs w:val="20"/>
        </w:rPr>
        <w:t xml:space="preserve">▸ Expand offset database (add 4 projects)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Gold Standard reforestation projects — generic entry — score 72/100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Plan Vivo smallholder agriculture — score 65/100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Blue carbon / mangrove restoration — score 60/100 (disputed permanence)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Direct Air Capture (DAC) credits — score 85/100 (high credibility, high cost)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8B2F"/>
          <w:sz w:val="20"/>
          <w:szCs w:val="20"/>
        </w:rPr>
        <w:t xml:space="preserve">▸ Frontend changes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Show "⚠️ Unverified project" badge in offset integrity panel when fallback scoring is used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tooltip: "This project is not in our verified database. Scores are estimated by project type."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recommendation item: "Independently verify the quality of [project name] credits before using in marketing"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💳  Phase 8 — Payment System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build this after auth and persistence are working and you have real users testing.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▸ Stripe setup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npm install stripe @stripe/stripe-js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STRIPE_SECRET_KEY, STRIPE_PUBLISHABLE_KEY, STRIPE_WEBHOOK_SECRET to .env.local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Create 3 products in Stripe dashboard: Free, Professional (€49/mo), Enterprise (€199/mo)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Copy Price IDs from Stripe dashboard into .env.local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▸ Pricing tiers to configure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Free — 3 analyses/month, text input only, no document upload, no history, no export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Professional (€49/month) — unlimited analyses, document upload, full history, PDF export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Enterprise (€199/month) — everything + team seats (up to 5 users) + API access key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▸ API routes to build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POST /api/stripe/create-checkout-session — creates Stripe Checkout session and returns URL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POST /api/stripe/webhook — handles: subscription.created, subscription.updated, subscription.deleted; updates user.plan in DB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GET /api/stripe/portal — creates Stripe Customer Portal session for billing management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▸ Pages to build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/pricing — 3-column pricing table with feature list per tier and Get Started button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/account — current plan badge, next billing date, usage counter (X of 3 analyses used), Manage Subscription button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▸ Enforcement logic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In POST /api/analyze: check user.plan and count of analyses this month before processing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If free user has used 3 analyses: return HTTP 402 with upgrade message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upgrade prompt modal on frontend triggered by 402 response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Add usage counter to Header: small badge showing "2/3 analyses used" for free users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Hide document upload tab in /analysis for free users with "Upgrade to Pro" lock overlay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▸ Test checklist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Complete a Stripe Checkout flow in test mode and confirm plan updates in DB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Run 3 analyses on a free account and confirm the 4th is blocked with upgrade prompt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Click Manage Subscription and confirm Stripe Customer Portal loads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320"/>
      </w:pPr>
      <w:r>
        <w:rPr>
          <w:rFonts w:ascii="Arial" w:cs="Arial" w:eastAsia="Arial" w:hAnsi="Arial"/>
          <w:strike w:val="false"/>
          <w:color w:val="1A1A1A"/>
          <w:sz w:val="20"/>
          <w:szCs w:val="20"/>
        </w:rPr>
        <w:t xml:space="preserve">Cancel a subscription and confirm plan reverts to free at period end</w:t>
      </w:r>
    </w:p>
    <w:p>
      <w:pPr>
        <w:spacing w:after="0" w:before="400"/>
      </w:pPr>
      <w:r>
        <w:t xml:space="preserve"/>
      </w:r>
    </w:p>
    <w:p>
      <w:pPr>
        <w:pBdr>
          <w:top w:val="single" w:color="CCCCCC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Priority order: Phase 1 → 2 (commercial blockers) → Phase 3 (one afternoon) → Phases 4–7 (research + content) → Phase 8 (after first users)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  <w:lvl w:ilvl="1" w15:tentative="1">
      <w:start w:val="1"/>
      <w:numFmt w:val="bullet"/>
      <w:lvlText w:val="◦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2026-05-07T23:38:49.739Z</dcterms:created>
  <dcterms:modified xsi:type="dcterms:W3CDTF">2026-05-07T23:38:49.740Z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