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Metin kutusu oncesi metin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mc:AlternateContent>
          <mc:Choice Requires="wps">
            <w:drawing>
              <wp:anchor behindDoc="0" distT="72390" distB="72390" distL="72390" distR="7239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2160270" cy="1080135"/>
                <wp:effectExtent l="0" t="0" r="0" b="0"/>
                <wp:wrapSquare wrapText="bothSides"/>
                <wp:docPr id="1" name="Box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270" cy="1080135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ereveerii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Metin kutusu icerisindeki metin alani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170.1pt;height:85.05pt;mso-wrap-distance-left:5.7pt;mso-wrap-distance-right:5.7pt;mso-wrap-distance-top:5.7pt;mso-wrap-distance-bottom:5.7pt;margin-top:5.7pt;mso-position-vertical:top;mso-position-vertical-relative:text;margin-left:155.9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ereveerii"/>
                        <w:bidi w:val="0"/>
                        <w:jc w:val="start"/>
                        <w:rPr/>
                      </w:pPr>
                      <w:r>
                        <w:rPr/>
                        <w:t>Metin kutusu icerisindeki metin alani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ereveerii">
    <w:name w:val="Çerçeve İçeriği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