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3864"/>
          <w:sz w:val="48"/>
          <w:szCs w:val="48"/>
        </w:rPr>
        <w:t xml:space="preserve">Control Check Document (Stage B4)</w:t>
      </w:r>
    </w:p>
    <w:p>
      <w:pPr>
        <w:spacing w:after="60"/>
        <w:jc w:val="center"/>
      </w:pPr>
      <w:r>
        <w:rPr>
          <w:color w:val="444444"/>
          <w:sz w:val="30"/>
          <w:szCs w:val="30"/>
        </w:rPr>
        <w:t xml:space="preserve">Security Review Checklist — Manpower Allocation Dashboard</w:t>
      </w:r>
    </w:p>
    <w:p>
      <w:pPr>
        <w:spacing w:after="500"/>
        <w:jc w:val="center"/>
      </w:pPr>
      <w:r>
        <w:rPr>
          <w:color w:val="666666"/>
          <w:sz w:val="24"/>
          <w:szCs w:val="24"/>
        </w:rPr>
        <w:t xml:space="preserve">TechSource IT — Dubai Investments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1"/>
        <w:gridCol w:w="6205"/>
      </w:tblGrid>
      <w:tr>
        <w:trPr>
          <w:tblHeader/>
        </w:trP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Manpower Allocation Dashboard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date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August 2026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Controlled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Reviewed by (Claude Code)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Self-verification — human countersignature required (Section 12)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Evidence branch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claude/techsource-internal-app-setup-2zm35u (commit a273ff0)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tests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Failed: 0, Passed: 44 (CI run 31071042595)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Overall readiness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READY FOR IT REVIEW</w:t>
            </w:r>
          </w:p>
        </w:tc>
      </w:tr>
    </w:tbl>
    <w:p>
      <w:pPr>
        <w:spacing w:before="160"/>
      </w:pPr>
      <w:r>
        <w:rPr>
          <w:i/>
          <w:iCs/>
          <w:color w:val="555555"/>
          <w:sz w:val="20"/>
          <w:szCs w:val="20"/>
        </w:rPr>
        <w:t xml:space="preserve">This is the Stage-B4 self-verification against every mandatory control of the TechSource Controlled-Application standard. Once countersigned by IT/Information Security (Section 12) it becomes the Security Review Checklist for go-live. Each item is verified against the actual codebase with a specific evidence reference.</w:t>
      </w:r>
    </w:p>
    <w:p>
      <w:pPr>
        <w:pageBreakBefore/>
      </w:pPr>
    </w:p>
    <w:p>
      <w:pPr>
        <w:pStyle w:val="Heading1"/>
        <w:spacing w:after="120" w:before="280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280"/>
      </w:pPr>
      <w:r>
        <w:t xml:space="preserve">1. Purpose and scope</w:t>
      </w:r>
    </w:p>
    <w:p>
      <w:pPr>
        <w:spacing w:after="120"/>
      </w:pPr>
      <w:r>
        <w:rPr>
          <w:sz w:val="21"/>
          <w:szCs w:val="21"/>
        </w:rPr>
        <w:t xml:space="preserve">This document is the security artifact Information Security relies on to approve go-live. It records, control by control, whether each mandatory safeguard is Implemented, with the file/class/configuration that proves it. It complements (does not replace) the System Documentation and the Test Report.</w:t>
      </w:r>
    </w:p>
    <w:p>
      <w:pPr>
        <w:spacing w:after="120"/>
      </w:pPr>
      <w:r>
        <w:rPr>
          <w:sz w:val="21"/>
          <w:szCs w:val="21"/>
        </w:rPr>
        <w:t xml:space="preserve">The data-flow diagram below shows exactly what data enters and leaves the trust boundary — the primary concern for an information-security review.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1 — Data flow and trust boundary (inbound biometric/OIDC/import; outbound reports/alerts).</w:t>
      </w:r>
    </w:p>
    <w:p>
      <w:pPr>
        <w:pStyle w:val="Heading1"/>
        <w:spacing w:after="120" w:before="280"/>
      </w:pPr>
      <w:r>
        <w:t xml:space="preserve">2.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354"/>
        <w:gridCol w:w="421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.NET 8 / Blazor Server + Razor components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net8.0 target; AddRazorComponents().AddInteractiveServerComponents()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ASP.NET Core Minimal API for backend endpoints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ApiEndpoints / *Endpoints under /api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EF Core against MSSQL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ManpowerDbContext; UseSqlServer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data in browser storage or flat files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state in the governed DB; exports are transient downloads</w:t>
            </w:r>
          </w:p>
        </w:tc>
      </w:tr>
    </w:tbl>
    <w:p>
      <w:pPr>
        <w:pStyle w:val="Heading1"/>
        <w:spacing w:after="120" w:before="280"/>
      </w:pPr>
      <w:r>
        <w:t xml:space="preserve">3. Authentication — Entra ID only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354"/>
        <w:gridCol w:w="421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Microsoft.Identity.Web / Entra ID is the sole auth mechanism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Program.cs — AddMicrosoftIdentityWebApp(AzureAd)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local username/password anywhere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the audited break-glass exception exists; no password store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route requires authentication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AuthorizationPolicies — deny-by-default fallback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DB stores only Entra Object ID → Role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RoleAssignment entity; no credential column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 cookie HttpOnly / Secure / SameSite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Program.cs — __Host- cookie; SameSite=Lax (documented deviation, §11)</w:t>
            </w:r>
          </w:p>
        </w:tc>
      </w:tr>
    </w:tbl>
    <w:p>
      <w:pPr>
        <w:pStyle w:val="Heading1"/>
        <w:spacing w:after="120" w:before="280"/>
      </w:pPr>
      <w:r>
        <w:t xml:space="preserve">4. Break-glass exception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354"/>
        <w:gridCol w:w="421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Exists and disabled by default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DatabaseInitializer seeds IsEnabled=false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Cannot be enabled from the UI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DB-only IsEnabled flag; the screen is read-only status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Enabling / using it triggers an alert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BreakGlassLifecycleWorker + alert service to IT Head (logged if unconfigured)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Auto-disables after 4 hours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BreakGlassLifecycleWorker + OnValidatePrincipal window check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Break-glass sessions distinctly flagged in audit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AuditLogEntry.IsBreakGlassSession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 stored as a PBKDF2 hash outside the DB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FileBreakGlassSecretStore; config fallback; never in the DB</w:t>
            </w:r>
          </w:p>
        </w:tc>
      </w:tr>
    </w:tbl>
    <w:p>
      <w:pPr>
        <w:pStyle w:val="Heading1"/>
        <w:spacing w:after="120" w:before="280"/>
      </w:pPr>
      <w:r>
        <w:t xml:space="preserve">5. Role-based access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354"/>
        <w:gridCol w:w="421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Minimum roles Viewer / User / Admin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UserRole enum; RequireViewer/User/Admin policies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Enforced server-side on every endpoint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.RequireAuthorization(...) on endpoints; Require(...) guards in services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UI-only restriction not relied upon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Service-layer role guards run regardless of UI</w:t>
            </w:r>
          </w:p>
        </w:tc>
      </w:tr>
    </w:tbl>
    <w:p>
      <w:pPr>
        <w:pStyle w:val="Heading1"/>
        <w:spacing w:after="120" w:before="280"/>
      </w:pPr>
      <w:r>
        <w:t xml:space="preserve">6. Audit trail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354"/>
        <w:gridCol w:w="421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log (UserId, timestamp, action, old/new)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AuditLogEntry; AuditWriter.Add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create/update/delete writes to it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Written in the same transaction (ExecuteInTransactionAsync / SaveChanges)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Break-glass sessions flagged distinctly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IsBreakGlassSession stamped from ICurrentUser</w:t>
            </w:r>
          </w:p>
        </w:tc>
      </w:tr>
    </w:tbl>
    <w:p>
      <w:pPr>
        <w:pStyle w:val="Heading1"/>
        <w:spacing w:after="120" w:before="280"/>
      </w:pPr>
      <w:r>
        <w:t xml:space="preserve">7. Input validation &amp; data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354"/>
        <w:gridCol w:w="421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FluentValidation on every server entry point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 validators + Api/ValidationFilter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Parameterised queries / EF Core only (no raw SQL)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EF Core throughout; keyless read-only attendance context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Production error responses are generic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GlobalExceptionHandler — no stack traces/SQL/paths leaked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Secrets encrypted at rest; none in DB plaintext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DataProtectionSecretProtector for SMTP/OAuth; write-only in UI</w:t>
            </w:r>
          </w:p>
        </w:tc>
      </w:tr>
    </w:tbl>
    <w:p>
      <w:pPr>
        <w:pStyle w:val="Heading1"/>
        <w:spacing w:after="120" w:before="280"/>
      </w:pPr>
      <w:r>
        <w:t xml:space="preserve">8. Security headers &amp; hardening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354"/>
        <w:gridCol w:w="421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Content-Security-Policy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SecurityHeadersMiddleware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X-Frame-Options: DENY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SecurityHeadersMiddleware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X-Content-Type-Options: nosniff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SecurityHeadersMiddleware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HSTS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Program.cs — AddHsts + UseHsts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Referrer-Policy and Permissions-Policy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SecurityHeadersMiddleware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Rate limiting on API endpoints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Program.cs — 120/min per principal; break-glass 5 / 5 min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Structured logging; no credentials/PII/tokens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RequestLoggingMiddleware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Protection keys persisted; resilient sign-in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PersistKeysToFileSystem; graceful OIDC failure handling + /signin-error</w:t>
            </w:r>
          </w:p>
        </w:tc>
      </w:tr>
    </w:tbl>
    <w:p>
      <w:pPr>
        <w:pStyle w:val="Heading1"/>
        <w:spacing w:after="120" w:before="280"/>
      </w:pPr>
      <w:r>
        <w:t xml:space="preserve">9. Code quality &amp; commenting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354"/>
        <w:gridCol w:w="421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XML doc comments on public methods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Enforced by convention; GenerateDocumentationFile=true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Inline comments explain non-obvious rules only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Throughout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placeholder / TODO / dead code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Delivered output reviewed</w:t>
            </w:r>
          </w:p>
        </w:tc>
      </w:tr>
    </w:tbl>
    <w:p>
      <w:pPr>
        <w:pStyle w:val="Heading1"/>
        <w:spacing w:after="120" w:before="280"/>
      </w:pPr>
      <w:r>
        <w:t xml:space="preserve">10. Testing, documentation &amp; source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1354"/>
        <w:gridCol w:w="4212"/>
      </w:tblGrid>
      <w:tr>
        <w:trPr>
          <w:tblHeader/>
        </w:trP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Functional / edge / security tests executed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Stage B2 — Test Report; 44 automated tests pass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10 UAT scenarios documented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Report — 17 scenarios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documentation package produced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Documentation (architecture … known issues) + BRD</w:t>
            </w:r>
          </w:p>
        </w:tc>
      </w:tr>
      <w:tr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 branch + PR; no direct main commits</w:t>
            </w:r>
          </w:p>
        </w:tc>
        <w:tc>
          <w:tcPr>
            <w:tcW w:type="dxa" w:w="13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2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Branch claude/techsource-internal-app-setup-2zm35u</w:t>
            </w:r>
          </w:p>
        </w:tc>
      </w:tr>
    </w:tbl>
    <w:p>
      <w:pPr>
        <w:pStyle w:val="Heading1"/>
        <w:spacing w:after="120" w:before="280"/>
      </w:pPr>
      <w:r>
        <w:t xml:space="preserve">11. Documented deviation (non-blocking)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460"/>
        <w:gridCol w:w="2858"/>
      </w:tblGrid>
      <w:tr>
        <w:trPr>
          <w:tblHeader/>
        </w:trPr>
        <w:tc>
          <w:tcPr>
            <w:tcW w:type="dxa" w:w="2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Disposition</w:t>
            </w:r>
          </w:p>
        </w:tc>
      </w:tr>
      <w:tr>
        <w:tc>
          <w:tcPr>
            <w:tcW w:type="dxa" w:w="2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 cookie SameSite=Lax (not Strict)</w:t>
            </w:r>
          </w:p>
        </w:tc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Strict is incompatible with the interactive Entra ID sign-in return (cross-site top-level navigation), which would break SSO.</w:t>
            </w:r>
          </w:p>
        </w:tc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Intentional; Lax is still CSRF-safe for an interactive auth cookie and matches Microsoft’s templates. Flagged for IT/InfoSec risk-acceptance.</w:t>
            </w:r>
          </w:p>
        </w:tc>
      </w:tr>
      <w:tr>
        <w:tc>
          <w:tcPr>
            <w:tcW w:type="dxa" w:w="2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role may delete employees</w:t>
            </w:r>
          </w:p>
        </w:tc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Requested by the business owner (delete in addition to edit on the Employees page).</w:t>
            </w:r>
          </w:p>
        </w:tc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Deletion is fully audited (actor, timestamp, before-image). Record the acceptance alongside the item above.</w:t>
            </w:r>
          </w:p>
        </w:tc>
      </w:tr>
      <w:tr>
        <w:tc>
          <w:tcPr>
            <w:tcW w:type="dxa" w:w="2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App-to-SQL encryption depends on infrastructure</w:t>
            </w:r>
          </w:p>
        </w:tc>
        <w:tc>
          <w:tcPr>
            <w:tcW w:type="dxa" w:w="34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Encrypt=False may be used if SQL Server has no TLS certificate.</w:t>
            </w:r>
          </w:p>
        </w:tc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Recommend TLS on SQL + TDE; otherwise a conscious, recorded risk acceptance on an isolated network segment. No app change needed to enable later.</w:t>
            </w:r>
          </w:p>
        </w:tc>
      </w:tr>
    </w:tbl>
    <w:p>
      <w:pPr>
        <w:pStyle w:val="Heading1"/>
        <w:spacing w:after="120" w:before="280"/>
      </w:pPr>
      <w:r>
        <w:t xml:space="preserve">12. Overall self-assessment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Mandatory controls (authentication, break-glass, RBAC, audit, validation, hardening, secret protection): all Implemented with evidence.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Partial: none. Not Implemented: none in any mandatory category.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Documented deviations: three (Section 11), all non-blocking and requiring only recorded risk-acceptance.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Overall readiness: READY FOR IT REVIEW. </w:t>
      </w:r>
      <w:r>
        <w:rPr>
          <w:sz w:val="21"/>
          <w:szCs w:val="21"/>
        </w:rPr>
        <w:t xml:space="preserve">No item involving authentication, audit trail, or data exposure is Partial or Not Implemented.</w:t>
      </w:r>
    </w:p>
    <w:p>
      <w:pPr>
        <w:pStyle w:val="Heading1"/>
        <w:spacing w:after="120" w:before="280"/>
      </w:pPr>
      <w:r>
        <w:t xml:space="preserve">13. Human sign-off (completed by IT / Information Security)</w:t>
      </w:r>
    </w:p>
    <w:p>
      <w:pPr>
        <w:spacing w:after="120"/>
      </w:pPr>
      <w:r>
        <w:rPr>
          <w:sz w:val="21"/>
          <w:szCs w:val="21"/>
        </w:rPr>
        <w:t xml:space="preserve">To be completed after reviewing this self-assessment. Not completed by Claude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5761"/>
      </w:tblGrid>
      <w:tr>
        <w:trPr>
          <w:tblHeader/>
        </w:trPr>
        <w:tc>
          <w:tcPr>
            <w:tcW w:type="dxa" w:w="3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Reviewed by (IT / InfoSec)</w:t>
            </w:r>
          </w:p>
        </w:tc>
        <w:tc>
          <w:tcPr>
            <w:tcW w:type="dxa" w:w="5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 reviewed</w:t>
            </w:r>
          </w:p>
        </w:tc>
        <w:tc>
          <w:tcPr>
            <w:tcW w:type="dxa" w:w="5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Independently verified items</w:t>
            </w:r>
          </w:p>
        </w:tc>
        <w:tc>
          <w:tcPr>
            <w:tcW w:type="dxa" w:w="5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Discrepancies found vs. self-assessment</w:t>
            </w:r>
          </w:p>
        </w:tc>
        <w:tc>
          <w:tcPr>
            <w:tcW w:type="dxa" w:w="5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Risk-acceptance recorded (Section 11 deviations)</w:t>
            </w:r>
          </w:p>
        </w:tc>
        <w:tc>
          <w:tcPr>
            <w:tcW w:type="dxa" w:w="5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dxa" w:w="5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Approved for Go-Live   ☐ Returned for fixes   ☐ Escalated</w:t>
            </w:r>
          </w:p>
        </w:tc>
      </w:tr>
      <w:tr>
        <w:tc>
          <w:tcPr>
            <w:tcW w:type="dxa" w:w="32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5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Once countersigned, this document is the Security Review Checklist referenced in the framework’s Documentation Standards and supports the Go-Live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2E4C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</w:pPr>
    <w:rPr>
      <w:b/>
      <w:bCs/>
      <w:color w:val="3A3A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46b99ee2bdafab0499f0864dad87ff9dce32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Check Document (Stage B4) — Manpower Allocation Dashboard</dc:title>
  <dc:creator>TechSource IT — Application Development</dc:creator>
  <cp:lastModifiedBy>Un-named</cp:lastModifiedBy>
  <cp:revision>1</cp:revision>
  <dcterms:created xsi:type="dcterms:W3CDTF">2026-08-06T05:17:28.826Z</dcterms:created>
  <dcterms:modified xsi:type="dcterms:W3CDTF">2026-08-06T05:17:28.826Z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