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565C0"/>
          <w:sz w:val="56"/>
        </w:rPr>
        <w:t>MetaboDesk</w:t>
        <w:br/>
        <w:t>Analysis Validation Report</w:t>
      </w:r>
    </w:p>
    <w:p>
      <w:pPr>
        <w:jc w:val="center"/>
      </w:pPr>
      <w:r>
        <w:rPr>
          <w:color w:val="646464"/>
          <w:sz w:val="28"/>
        </w:rPr>
        <w:t>Comprehensive Validation Across Three Genome-Scale Metabolic Models</w:t>
        <w:br/>
        <w:t>E. coli · S. cerevisiae · H. sapiens</w:t>
      </w:r>
    </w:p>
    <w:p>
      <w:pPr>
        <w:jc w:val="center"/>
      </w:pPr>
      <w:r>
        <w:rPr>
          <w:sz w:val="24"/>
        </w:rPr>
        <w:t>February 22, 2026</w:t>
      </w:r>
    </w:p>
    <w:p>
      <w:r>
        <w:br w:type="page"/>
      </w:r>
    </w:p>
    <w:p>
      <w:pPr>
        <w:pStyle w:val="Heading1"/>
      </w:pPr>
      <w:r>
        <w:t>Table of Contents</w:t>
      </w:r>
    </w:p>
    <w:p>
      <w:pPr>
        <w:spacing w:after="40"/>
      </w:pPr>
      <w:r>
        <w:t>1. Introduction</w:t>
      </w:r>
    </w:p>
    <w:p>
      <w:pPr>
        <w:spacing w:after="40"/>
      </w:pPr>
      <w:r>
        <w:t>2. Models Overview</w:t>
      </w:r>
    </w:p>
    <w:p>
      <w:pPr>
        <w:spacing w:after="40"/>
      </w:pPr>
      <w:r>
        <w:t>3. Flux Balance Analysis (FBA)</w:t>
      </w:r>
    </w:p>
    <w:p>
      <w:pPr>
        <w:spacing w:after="40"/>
      </w:pPr>
      <w:r>
        <w:t>4. Parsimonious FBA (pFBA)</w:t>
      </w:r>
    </w:p>
    <w:p>
      <w:pPr>
        <w:spacing w:after="40"/>
      </w:pPr>
      <w:r>
        <w:t>5. Flux Variability Analysis (FVA)</w:t>
      </w:r>
    </w:p>
    <w:p>
      <w:pPr>
        <w:spacing w:after="40"/>
      </w:pPr>
      <w:r>
        <w:t>6. Single Gene Deletion (SGD)</w:t>
      </w:r>
    </w:p>
    <w:p>
      <w:pPr>
        <w:spacing w:after="40"/>
      </w:pPr>
      <w:r>
        <w:t>7. Single Reaction Deletion (SRD)</w:t>
      </w:r>
    </w:p>
    <w:p>
      <w:pPr>
        <w:spacing w:after="40"/>
      </w:pPr>
      <w:r>
        <w:t>8. Robustness Analysis</w:t>
      </w:r>
    </w:p>
    <w:p>
      <w:pPr>
        <w:spacing w:after="40"/>
      </w:pPr>
      <w:r>
        <w:t>9. Production Envelope</w:t>
      </w:r>
    </w:p>
    <w:p>
      <w:pPr>
        <w:spacing w:after="40"/>
      </w:pPr>
      <w:r>
        <w:t>10. Flux Sampling</w:t>
      </w:r>
    </w:p>
    <w:p>
      <w:pPr>
        <w:spacing w:after="40"/>
      </w:pPr>
      <w:r>
        <w:t>11. MetaboDesk vs COBRApy Correlation</w:t>
      </w:r>
    </w:p>
    <w:p>
      <w:pPr>
        <w:spacing w:after="40"/>
      </w:pPr>
      <w:r>
        <w:t>12. Summary &amp; Conclusions</w:t>
      </w:r>
    </w:p>
    <w:p>
      <w:pPr>
        <w:spacing w:after="40"/>
      </w:pPr>
      <w:r>
        <w:t>13. References</w:t>
      </w:r>
    </w:p>
    <w:p>
      <w:r>
        <w:br w:type="page"/>
      </w:r>
    </w:p>
    <w:p>
      <w:pPr>
        <w:pStyle w:val="Heading1"/>
      </w:pPr>
      <w:r>
        <w:t>1. Introduction</w:t>
      </w:r>
    </w:p>
    <w:p>
      <w:r>
        <w:t>This report presents a comprehensive validation of MetaboDesk, a desktop application for constraint-based metabolic modelling. The validation encompasses nine core analysis types executed on three genome-scale metabolic models representing organisms across different kingdoms of life: a prokaryote (E. coli), a unicellular eukaryote (S. cerevisiae), and a multicellular eukaryote (H. sapiens).</w:t>
      </w:r>
    </w:p>
    <w:p>
      <w:r>
        <w:t>For each analysis, results from MetaboDesk are compared against (i) direct COBRApy library calls serving as the computational ground truth, and (ii) published literature values where available. All analyses were executed headlessly by calling MetaboDesk's internal compute methods (AnalysisMixin) and comparing them to the equivalent COBRApy functions.</w:t>
      </w:r>
    </w:p>
    <w:p>
      <w:r>
        <w:t>The objective is to demonstrate that MetaboDesk produces numerically identical results to the underlying COBRApy library, and that these results are consistent with established scientific literature.</w:t>
      </w:r>
    </w:p>
    <w:p>
      <w:pPr>
        <w:pStyle w:val="Heading1"/>
      </w:pPr>
      <w:r>
        <w:t>2. Models Overview</w:t>
      </w:r>
    </w:p>
    <w:p>
      <w:r>
        <w:t>Three genome-scale metabolic models of increasing complexity were used: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2196F3"/>
          </w:tcPr>
          <w:p>
            <w:pPr>
              <w:jc w:val="center"/>
            </w:pPr>
            <w:r>
              <w:rPr>
                <w:b/>
                <w:color w:val="FFFFFF"/>
                <w:sz w:val="18"/>
              </w:rPr>
              <w:t>Property</w:t>
            </w:r>
          </w:p>
        </w:tc>
        <w:tc>
          <w:tcPr>
            <w:tcW w:type="dxa" w:w="2160"/>
            <w:shd w:val="clear" w:color="auto" w:fill="2196F3"/>
          </w:tcPr>
          <w:p>
            <w:pPr>
              <w:jc w:val="center"/>
            </w:pPr>
            <w:r>
              <w:rPr>
                <w:b/>
                <w:color w:val="FFFFFF"/>
                <w:sz w:val="18"/>
              </w:rPr>
              <w:t>E. coli core</w:t>
            </w:r>
          </w:p>
        </w:tc>
        <w:tc>
          <w:tcPr>
            <w:tcW w:type="dxa" w:w="2160"/>
            <w:shd w:val="clear" w:color="auto" w:fill="2196F3"/>
          </w:tcPr>
          <w:p>
            <w:pPr>
              <w:jc w:val="center"/>
            </w:pPr>
            <w:r>
              <w:rPr>
                <w:b/>
                <w:color w:val="FFFFFF"/>
                <w:sz w:val="18"/>
              </w:rPr>
              <w:t>S. cerevisiae iMM904</w:t>
            </w:r>
          </w:p>
        </w:tc>
        <w:tc>
          <w:tcPr>
            <w:tcW w:type="dxa" w:w="2160"/>
            <w:shd w:val="clear" w:color="auto" w:fill="2196F3"/>
          </w:tcPr>
          <w:p>
            <w:pPr>
              <w:jc w:val="center"/>
            </w:pPr>
            <w:r>
              <w:rPr>
                <w:b/>
                <w:color w:val="FFFFFF"/>
                <w:sz w:val="18"/>
              </w:rPr>
              <w:t>H. sapiens RECON1</w:t>
            </w:r>
          </w:p>
        </w:tc>
      </w:tr>
      <w:tr>
        <w:tc>
          <w:tcPr>
            <w:tcW w:type="dxa" w:w="2160"/>
          </w:tcPr>
          <w:p>
            <w:pPr>
              <w:jc w:val="center"/>
            </w:pPr>
            <w:r>
              <w:rPr>
                <w:sz w:val="18"/>
              </w:rPr>
              <w:t>Organism</w:t>
            </w:r>
          </w:p>
        </w:tc>
        <w:tc>
          <w:tcPr>
            <w:tcW w:type="dxa" w:w="2160"/>
          </w:tcPr>
          <w:p>
            <w:pPr>
              <w:jc w:val="center"/>
            </w:pPr>
            <w:r>
              <w:rPr>
                <w:sz w:val="18"/>
              </w:rPr>
              <w:t>Escherichia coli K-12</w:t>
            </w:r>
          </w:p>
        </w:tc>
        <w:tc>
          <w:tcPr>
            <w:tcW w:type="dxa" w:w="2160"/>
          </w:tcPr>
          <w:p>
            <w:pPr>
              <w:jc w:val="center"/>
            </w:pPr>
            <w:r>
              <w:rPr>
                <w:sz w:val="18"/>
              </w:rPr>
              <w:t>Saccharomyces cerevisiae S288C</w:t>
            </w:r>
          </w:p>
        </w:tc>
        <w:tc>
          <w:tcPr>
            <w:tcW w:type="dxa" w:w="2160"/>
          </w:tcPr>
          <w:p>
            <w:pPr>
              <w:jc w:val="center"/>
            </w:pPr>
            <w:r>
              <w:rPr>
                <w:sz w:val="18"/>
              </w:rPr>
              <w:t>Homo sapiens</w:t>
            </w:r>
          </w:p>
        </w:tc>
      </w:tr>
      <w:tr>
        <w:tc>
          <w:tcPr>
            <w:tcW w:type="dxa" w:w="2160"/>
            <w:shd w:val="clear" w:color="auto" w:fill="E3F2FD"/>
          </w:tcPr>
          <w:p>
            <w:pPr>
              <w:jc w:val="center"/>
            </w:pPr>
            <w:r>
              <w:rPr>
                <w:sz w:val="18"/>
              </w:rPr>
              <w:t>Model ID</w:t>
            </w:r>
          </w:p>
        </w:tc>
        <w:tc>
          <w:tcPr>
            <w:tcW w:type="dxa" w:w="2160"/>
            <w:shd w:val="clear" w:color="auto" w:fill="E3F2FD"/>
          </w:tcPr>
          <w:p>
            <w:pPr>
              <w:jc w:val="center"/>
            </w:pPr>
            <w:r>
              <w:rPr>
                <w:sz w:val="18"/>
              </w:rPr>
              <w:t>e_coli_core</w:t>
            </w:r>
          </w:p>
        </w:tc>
        <w:tc>
          <w:tcPr>
            <w:tcW w:type="dxa" w:w="2160"/>
            <w:shd w:val="clear" w:color="auto" w:fill="E3F2FD"/>
          </w:tcPr>
          <w:p>
            <w:pPr>
              <w:jc w:val="center"/>
            </w:pPr>
            <w:r>
              <w:rPr>
                <w:sz w:val="18"/>
              </w:rPr>
              <w:t>iMM904</w:t>
            </w:r>
          </w:p>
        </w:tc>
        <w:tc>
          <w:tcPr>
            <w:tcW w:type="dxa" w:w="2160"/>
            <w:shd w:val="clear" w:color="auto" w:fill="E3F2FD"/>
          </w:tcPr>
          <w:p>
            <w:pPr>
              <w:jc w:val="center"/>
            </w:pPr>
            <w:r>
              <w:rPr>
                <w:sz w:val="18"/>
              </w:rPr>
              <w:t>RECON1</w:t>
            </w:r>
          </w:p>
        </w:tc>
      </w:tr>
      <w:tr>
        <w:tc>
          <w:tcPr>
            <w:tcW w:type="dxa" w:w="2160"/>
          </w:tcPr>
          <w:p>
            <w:pPr>
              <w:jc w:val="center"/>
            </w:pPr>
            <w:r>
              <w:rPr>
                <w:sz w:val="18"/>
              </w:rPr>
              <w:t>Reactions</w:t>
            </w:r>
          </w:p>
        </w:tc>
        <w:tc>
          <w:tcPr>
            <w:tcW w:type="dxa" w:w="2160"/>
          </w:tcPr>
          <w:p>
            <w:pPr>
              <w:jc w:val="center"/>
            </w:pPr>
            <w:r>
              <w:rPr>
                <w:sz w:val="18"/>
              </w:rPr>
              <w:t>95</w:t>
            </w:r>
          </w:p>
        </w:tc>
        <w:tc>
          <w:tcPr>
            <w:tcW w:type="dxa" w:w="2160"/>
          </w:tcPr>
          <w:p>
            <w:pPr>
              <w:jc w:val="center"/>
            </w:pPr>
            <w:r>
              <w:rPr>
                <w:sz w:val="18"/>
              </w:rPr>
              <w:t>1577</w:t>
            </w:r>
          </w:p>
        </w:tc>
        <w:tc>
          <w:tcPr>
            <w:tcW w:type="dxa" w:w="2160"/>
          </w:tcPr>
          <w:p>
            <w:pPr>
              <w:jc w:val="center"/>
            </w:pPr>
            <w:r>
              <w:rPr>
                <w:sz w:val="18"/>
              </w:rPr>
              <w:t>3742</w:t>
            </w:r>
          </w:p>
        </w:tc>
      </w:tr>
      <w:tr>
        <w:tc>
          <w:tcPr>
            <w:tcW w:type="dxa" w:w="2160"/>
            <w:shd w:val="clear" w:color="auto" w:fill="E3F2FD"/>
          </w:tcPr>
          <w:p>
            <w:pPr>
              <w:jc w:val="center"/>
            </w:pPr>
            <w:r>
              <w:rPr>
                <w:sz w:val="18"/>
              </w:rPr>
              <w:t>Metabolites</w:t>
            </w:r>
          </w:p>
        </w:tc>
        <w:tc>
          <w:tcPr>
            <w:tcW w:type="dxa" w:w="2160"/>
            <w:shd w:val="clear" w:color="auto" w:fill="E3F2FD"/>
          </w:tcPr>
          <w:p>
            <w:pPr>
              <w:jc w:val="center"/>
            </w:pPr>
            <w:r>
              <w:rPr>
                <w:sz w:val="18"/>
              </w:rPr>
              <w:t>72</w:t>
            </w:r>
          </w:p>
        </w:tc>
        <w:tc>
          <w:tcPr>
            <w:tcW w:type="dxa" w:w="2160"/>
            <w:shd w:val="clear" w:color="auto" w:fill="E3F2FD"/>
          </w:tcPr>
          <w:p>
            <w:pPr>
              <w:jc w:val="center"/>
            </w:pPr>
            <w:r>
              <w:rPr>
                <w:sz w:val="18"/>
              </w:rPr>
              <w:t>1226</w:t>
            </w:r>
          </w:p>
        </w:tc>
        <w:tc>
          <w:tcPr>
            <w:tcW w:type="dxa" w:w="2160"/>
            <w:shd w:val="clear" w:color="auto" w:fill="E3F2FD"/>
          </w:tcPr>
          <w:p>
            <w:pPr>
              <w:jc w:val="center"/>
            </w:pPr>
            <w:r>
              <w:rPr>
                <w:sz w:val="18"/>
              </w:rPr>
              <w:t>2766</w:t>
            </w:r>
          </w:p>
        </w:tc>
      </w:tr>
      <w:tr>
        <w:tc>
          <w:tcPr>
            <w:tcW w:type="dxa" w:w="2160"/>
          </w:tcPr>
          <w:p>
            <w:pPr>
              <w:jc w:val="center"/>
            </w:pPr>
            <w:r>
              <w:rPr>
                <w:sz w:val="18"/>
              </w:rPr>
              <w:t>Genes</w:t>
            </w:r>
          </w:p>
        </w:tc>
        <w:tc>
          <w:tcPr>
            <w:tcW w:type="dxa" w:w="2160"/>
          </w:tcPr>
          <w:p>
            <w:pPr>
              <w:jc w:val="center"/>
            </w:pPr>
            <w:r>
              <w:rPr>
                <w:sz w:val="18"/>
              </w:rPr>
              <w:t>137</w:t>
            </w:r>
          </w:p>
        </w:tc>
        <w:tc>
          <w:tcPr>
            <w:tcW w:type="dxa" w:w="2160"/>
          </w:tcPr>
          <w:p>
            <w:pPr>
              <w:jc w:val="center"/>
            </w:pPr>
            <w:r>
              <w:rPr>
                <w:sz w:val="18"/>
              </w:rPr>
              <w:t>905</w:t>
            </w:r>
          </w:p>
        </w:tc>
        <w:tc>
          <w:tcPr>
            <w:tcW w:type="dxa" w:w="2160"/>
          </w:tcPr>
          <w:p>
            <w:pPr>
              <w:jc w:val="center"/>
            </w:pPr>
            <w:r>
              <w:rPr>
                <w:sz w:val="18"/>
              </w:rPr>
              <w:t>1905</w:t>
            </w:r>
          </w:p>
        </w:tc>
      </w:tr>
      <w:tr>
        <w:tc>
          <w:tcPr>
            <w:tcW w:type="dxa" w:w="2160"/>
            <w:shd w:val="clear" w:color="auto" w:fill="E3F2FD"/>
          </w:tcPr>
          <w:p>
            <w:pPr>
              <w:jc w:val="center"/>
            </w:pPr>
            <w:r>
              <w:rPr>
                <w:sz w:val="18"/>
              </w:rPr>
              <w:t>Objective</w:t>
            </w:r>
          </w:p>
        </w:tc>
        <w:tc>
          <w:tcPr>
            <w:tcW w:type="dxa" w:w="2160"/>
            <w:shd w:val="clear" w:color="auto" w:fill="E3F2FD"/>
          </w:tcPr>
          <w:p>
            <w:pPr>
              <w:jc w:val="center"/>
            </w:pPr>
            <w:r>
              <w:rPr>
                <w:sz w:val="18"/>
              </w:rPr>
              <w:t>Biomass (growth)</w:t>
            </w:r>
          </w:p>
        </w:tc>
        <w:tc>
          <w:tcPr>
            <w:tcW w:type="dxa" w:w="2160"/>
            <w:shd w:val="clear" w:color="auto" w:fill="E3F2FD"/>
          </w:tcPr>
          <w:p>
            <w:pPr>
              <w:jc w:val="center"/>
            </w:pPr>
            <w:r>
              <w:rPr>
                <w:sz w:val="18"/>
              </w:rPr>
              <w:t>Biomass (growth)</w:t>
            </w:r>
          </w:p>
        </w:tc>
        <w:tc>
          <w:tcPr>
            <w:tcW w:type="dxa" w:w="2160"/>
            <w:shd w:val="clear" w:color="auto" w:fill="E3F2FD"/>
          </w:tcPr>
          <w:p>
            <w:pPr>
              <w:jc w:val="center"/>
            </w:pPr>
            <w:r>
              <w:rPr>
                <w:sz w:val="18"/>
              </w:rPr>
              <w:t>ATP demand (maintenance)</w:t>
            </w:r>
          </w:p>
        </w:tc>
      </w:tr>
      <w:tr>
        <w:tc>
          <w:tcPr>
            <w:tcW w:type="dxa" w:w="2160"/>
          </w:tcPr>
          <w:p>
            <w:pPr>
              <w:jc w:val="center"/>
            </w:pPr>
            <w:r>
              <w:rPr>
                <w:sz w:val="18"/>
              </w:rPr>
              <w:t>Reference</w:t>
            </w:r>
          </w:p>
        </w:tc>
        <w:tc>
          <w:tcPr>
            <w:tcW w:type="dxa" w:w="2160"/>
          </w:tcPr>
          <w:p>
            <w:pPr>
              <w:jc w:val="center"/>
            </w:pPr>
            <w:r>
              <w:rPr>
                <w:sz w:val="18"/>
              </w:rPr>
              <w:t>Orth et al. (2010)</w:t>
            </w:r>
          </w:p>
        </w:tc>
        <w:tc>
          <w:tcPr>
            <w:tcW w:type="dxa" w:w="2160"/>
          </w:tcPr>
          <w:p>
            <w:pPr>
              <w:jc w:val="center"/>
            </w:pPr>
            <w:r>
              <w:rPr>
                <w:sz w:val="18"/>
              </w:rPr>
              <w:t>Mo et al. (2009)</w:t>
            </w:r>
          </w:p>
        </w:tc>
        <w:tc>
          <w:tcPr>
            <w:tcW w:type="dxa" w:w="2160"/>
          </w:tcPr>
          <w:p>
            <w:pPr>
              <w:jc w:val="center"/>
            </w:pPr>
            <w:r>
              <w:rPr>
                <w:sz w:val="18"/>
              </w:rPr>
              <w:t>Duarte et al. (2007)</w:t>
            </w:r>
          </w:p>
        </w:tc>
      </w:tr>
    </w:tbl>
    <w:p/>
    <w:p>
      <w:pPr>
        <w:jc w:val="center"/>
      </w:pPr>
      <w:r>
        <w:drawing>
          <wp:inline xmlns:a="http://schemas.openxmlformats.org/drawingml/2006/main" xmlns:pic="http://schemas.openxmlformats.org/drawingml/2006/picture">
            <wp:extent cx="5029200" cy="1744019"/>
            <wp:docPr id="1" name="Picture 1"/>
            <wp:cNvGraphicFramePr>
              <a:graphicFrameLocks noChangeAspect="1"/>
            </wp:cNvGraphicFramePr>
            <a:graphic>
              <a:graphicData uri="http://schemas.openxmlformats.org/drawingml/2006/picture">
                <pic:pic>
                  <pic:nvPicPr>
                    <pic:cNvPr id="0" name="01_model_overview.png"/>
                    <pic:cNvPicPr/>
                  </pic:nvPicPr>
                  <pic:blipFill>
                    <a:blip r:embed="rId9"/>
                    <a:stretch>
                      <a:fillRect/>
                    </a:stretch>
                  </pic:blipFill>
                  <pic:spPr>
                    <a:xfrm>
                      <a:off x="0" y="0"/>
                      <a:ext cx="5029200" cy="1744019"/>
                    </a:xfrm>
                    <a:prstGeom prst="rect"/>
                  </pic:spPr>
                </pic:pic>
              </a:graphicData>
            </a:graphic>
          </wp:inline>
        </w:drawing>
      </w:r>
    </w:p>
    <w:p>
      <w:pPr>
        <w:pStyle w:val="Caption"/>
        <w:jc w:val="center"/>
      </w:pPr>
      <w:r>
        <w:rPr>
          <w:i/>
          <w:sz w:val="18"/>
        </w:rPr>
        <w:t>Figure 1. Model statistics comparison across three organisms.</w:t>
      </w:r>
    </w:p>
    <w:p>
      <w:r>
        <w:t>Note: The human model (RECON1) does not include a canonical biomass reaction. An ATP hydrolysis demand reaction was added as the objective function, representing cellular maintenance energy requirements. This is a standard approach for human metabolic models (Duarte et al., 2007).</w:t>
      </w:r>
    </w:p>
    <w:p>
      <w:r>
        <w:br w:type="page"/>
      </w:r>
    </w:p>
    <w:p>
      <w:pPr>
        <w:pStyle w:val="Heading1"/>
      </w:pPr>
      <w:r>
        <w:t>3. Flux Balance Analysis (FBA)</w:t>
      </w:r>
    </w:p>
    <w:p>
      <w:r>
        <w:t>FBA identifies the optimal steady-state flux distribution that maximises a cellular objective (typically biomass production) subject to stoichiometric and capacity constraints (Orth et al., 2010). It is the most fundamental analysis in constraint-based metabolic modelling.</w:t>
      </w:r>
    </w:p>
    <w:p>
      <w:pPr>
        <w:pStyle w:val="Heading2"/>
      </w:pPr>
      <w:r>
        <w:t>3.1 Results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2196F3"/>
          </w:tcPr>
          <w:p>
            <w:pPr>
              <w:jc w:val="center"/>
            </w:pPr>
            <w:r>
              <w:rPr>
                <w:b/>
                <w:color w:val="FFFFFF"/>
                <w:sz w:val="18"/>
              </w:rPr>
              <w:t>Model</w:t>
            </w:r>
          </w:p>
        </w:tc>
        <w:tc>
          <w:tcPr>
            <w:tcW w:type="dxa" w:w="1440"/>
            <w:shd w:val="clear" w:color="auto" w:fill="2196F3"/>
          </w:tcPr>
          <w:p>
            <w:pPr>
              <w:jc w:val="center"/>
            </w:pPr>
            <w:r>
              <w:rPr>
                <w:b/>
                <w:color w:val="FFFFFF"/>
                <w:sz w:val="18"/>
              </w:rPr>
              <w:t>MetaboDesk</w:t>
            </w:r>
          </w:p>
        </w:tc>
        <w:tc>
          <w:tcPr>
            <w:tcW w:type="dxa" w:w="1440"/>
            <w:shd w:val="clear" w:color="auto" w:fill="2196F3"/>
          </w:tcPr>
          <w:p>
            <w:pPr>
              <w:jc w:val="center"/>
            </w:pPr>
            <w:r>
              <w:rPr>
                <w:b/>
                <w:color w:val="FFFFFF"/>
                <w:sz w:val="18"/>
              </w:rPr>
              <w:t>COBRApy</w:t>
            </w:r>
          </w:p>
        </w:tc>
        <w:tc>
          <w:tcPr>
            <w:tcW w:type="dxa" w:w="1440"/>
            <w:shd w:val="clear" w:color="auto" w:fill="2196F3"/>
          </w:tcPr>
          <w:p>
            <w:pPr>
              <w:jc w:val="center"/>
            </w:pPr>
            <w:r>
              <w:rPr>
                <w:b/>
                <w:color w:val="FFFFFF"/>
                <w:sz w:val="18"/>
              </w:rPr>
              <w:t>Literature</w:t>
            </w:r>
          </w:p>
        </w:tc>
        <w:tc>
          <w:tcPr>
            <w:tcW w:type="dxa" w:w="1440"/>
            <w:shd w:val="clear" w:color="auto" w:fill="2196F3"/>
          </w:tcPr>
          <w:p>
            <w:pPr>
              <w:jc w:val="center"/>
            </w:pPr>
            <w:r>
              <w:rPr>
                <w:b/>
                <w:color w:val="FFFFFF"/>
                <w:sz w:val="18"/>
              </w:rPr>
              <w:t>MD=COBRApy</w:t>
            </w:r>
          </w:p>
        </w:tc>
        <w:tc>
          <w:tcPr>
            <w:tcW w:type="dxa" w:w="1440"/>
            <w:shd w:val="clear" w:color="auto" w:fill="2196F3"/>
          </w:tcPr>
          <w:p>
            <w:pPr>
              <w:jc w:val="center"/>
            </w:pPr>
            <w:r>
              <w:rPr>
                <w:b/>
                <w:color w:val="FFFFFF"/>
                <w:sz w:val="18"/>
              </w:rPr>
              <w:t>COBRApy≈Lit.</w:t>
            </w:r>
          </w:p>
        </w:tc>
      </w:tr>
      <w:tr>
        <w:tc>
          <w:tcPr>
            <w:tcW w:type="dxa" w:w="1440"/>
          </w:tcPr>
          <w:p>
            <w:pPr>
              <w:jc w:val="center"/>
            </w:pPr>
            <w:r>
              <w:rPr>
                <w:sz w:val="18"/>
              </w:rPr>
              <w:t>E. coli core</w:t>
            </w:r>
          </w:p>
        </w:tc>
        <w:tc>
          <w:tcPr>
            <w:tcW w:type="dxa" w:w="1440"/>
          </w:tcPr>
          <w:p>
            <w:pPr>
              <w:jc w:val="center"/>
            </w:pPr>
            <w:r>
              <w:rPr>
                <w:sz w:val="18"/>
              </w:rPr>
              <w:t>0.873922</w:t>
            </w:r>
          </w:p>
        </w:tc>
        <w:tc>
          <w:tcPr>
            <w:tcW w:type="dxa" w:w="1440"/>
          </w:tcPr>
          <w:p>
            <w:pPr>
              <w:jc w:val="center"/>
            </w:pPr>
            <w:r>
              <w:rPr>
                <w:sz w:val="18"/>
              </w:rPr>
              <w:t>0.873922</w:t>
            </w:r>
          </w:p>
        </w:tc>
        <w:tc>
          <w:tcPr>
            <w:tcW w:type="dxa" w:w="1440"/>
          </w:tcPr>
          <w:p>
            <w:pPr>
              <w:jc w:val="center"/>
            </w:pPr>
            <w:r>
              <w:rPr>
                <w:sz w:val="18"/>
              </w:rPr>
              <w:t>0.8739</w:t>
            </w:r>
          </w:p>
        </w:tc>
        <w:tc>
          <w:tcPr>
            <w:tcW w:type="dxa" w:w="1440"/>
          </w:tcPr>
          <w:p>
            <w:pPr>
              <w:jc w:val="center"/>
            </w:pPr>
            <w:r>
              <w:rPr>
                <w:sz w:val="18"/>
              </w:rPr>
              <w:t>✓</w:t>
            </w:r>
          </w:p>
        </w:tc>
        <w:tc>
          <w:tcPr>
            <w:tcW w:type="dxa" w:w="1440"/>
          </w:tcPr>
          <w:p>
            <w:pPr>
              <w:jc w:val="center"/>
            </w:pPr>
            <w:r>
              <w:rPr>
                <w:sz w:val="18"/>
              </w:rPr>
              <w:t>✓</w:t>
            </w:r>
          </w:p>
        </w:tc>
      </w:tr>
      <w:tr>
        <w:tc>
          <w:tcPr>
            <w:tcW w:type="dxa" w:w="1440"/>
            <w:shd w:val="clear" w:color="auto" w:fill="E3F2FD"/>
          </w:tcPr>
          <w:p>
            <w:pPr>
              <w:jc w:val="center"/>
            </w:pPr>
            <w:r>
              <w:rPr>
                <w:sz w:val="18"/>
              </w:rPr>
              <w:t>S. cerevisiae iMM904</w:t>
            </w:r>
          </w:p>
        </w:tc>
        <w:tc>
          <w:tcPr>
            <w:tcW w:type="dxa" w:w="1440"/>
            <w:shd w:val="clear" w:color="auto" w:fill="E3F2FD"/>
          </w:tcPr>
          <w:p>
            <w:pPr>
              <w:jc w:val="center"/>
            </w:pPr>
            <w:r>
              <w:rPr>
                <w:sz w:val="18"/>
              </w:rPr>
              <w:t>0.287866</w:t>
            </w:r>
          </w:p>
        </w:tc>
        <w:tc>
          <w:tcPr>
            <w:tcW w:type="dxa" w:w="1440"/>
            <w:shd w:val="clear" w:color="auto" w:fill="E3F2FD"/>
          </w:tcPr>
          <w:p>
            <w:pPr>
              <w:jc w:val="center"/>
            </w:pPr>
            <w:r>
              <w:rPr>
                <w:sz w:val="18"/>
              </w:rPr>
              <w:t>0.287866</w:t>
            </w:r>
          </w:p>
        </w:tc>
        <w:tc>
          <w:tcPr>
            <w:tcW w:type="dxa" w:w="1440"/>
            <w:shd w:val="clear" w:color="auto" w:fill="E3F2FD"/>
          </w:tcPr>
          <w:p>
            <w:pPr>
              <w:jc w:val="center"/>
            </w:pPr>
            <w:r>
              <w:rPr>
                <w:sz w:val="18"/>
              </w:rPr>
              <w:t>0.2879</w:t>
            </w:r>
          </w:p>
        </w:tc>
        <w:tc>
          <w:tcPr>
            <w:tcW w:type="dxa" w:w="1440"/>
            <w:shd w:val="clear" w:color="auto" w:fill="E3F2FD"/>
          </w:tcPr>
          <w:p>
            <w:pPr>
              <w:jc w:val="center"/>
            </w:pPr>
            <w:r>
              <w:rPr>
                <w:sz w:val="18"/>
              </w:rPr>
              <w:t>✓</w:t>
            </w:r>
          </w:p>
        </w:tc>
        <w:tc>
          <w:tcPr>
            <w:tcW w:type="dxa" w:w="1440"/>
            <w:shd w:val="clear" w:color="auto" w:fill="E3F2FD"/>
          </w:tcPr>
          <w:p>
            <w:pPr>
              <w:jc w:val="center"/>
            </w:pPr>
            <w:r>
              <w:rPr>
                <w:sz w:val="18"/>
              </w:rPr>
              <w:t>✓</w:t>
            </w:r>
          </w:p>
        </w:tc>
      </w:tr>
      <w:tr>
        <w:tc>
          <w:tcPr>
            <w:tcW w:type="dxa" w:w="1440"/>
          </w:tcPr>
          <w:p>
            <w:pPr>
              <w:jc w:val="center"/>
            </w:pPr>
            <w:r>
              <w:rPr>
                <w:sz w:val="18"/>
              </w:rPr>
              <w:t>H. sapiens RECON1</w:t>
            </w:r>
          </w:p>
        </w:tc>
        <w:tc>
          <w:tcPr>
            <w:tcW w:type="dxa" w:w="1440"/>
          </w:tcPr>
          <w:p>
            <w:pPr>
              <w:jc w:val="center"/>
            </w:pPr>
            <w:r>
              <w:rPr>
                <w:sz w:val="18"/>
              </w:rPr>
              <w:t>100.000000</w:t>
            </w:r>
          </w:p>
        </w:tc>
        <w:tc>
          <w:tcPr>
            <w:tcW w:type="dxa" w:w="1440"/>
          </w:tcPr>
          <w:p>
            <w:pPr>
              <w:jc w:val="center"/>
            </w:pPr>
            <w:r>
              <w:rPr>
                <w:sz w:val="18"/>
              </w:rPr>
              <w:t>100.000000</w:t>
            </w:r>
          </w:p>
        </w:tc>
        <w:tc>
          <w:tcPr>
            <w:tcW w:type="dxa" w:w="1440"/>
          </w:tcPr>
          <w:p>
            <w:pPr>
              <w:jc w:val="center"/>
            </w:pPr>
            <w:r>
              <w:rPr>
                <w:sz w:val="18"/>
              </w:rPr>
              <w:t>N/A</w:t>
            </w:r>
          </w:p>
        </w:tc>
        <w:tc>
          <w:tcPr>
            <w:tcW w:type="dxa" w:w="1440"/>
          </w:tcPr>
          <w:p>
            <w:pPr>
              <w:jc w:val="center"/>
            </w:pPr>
            <w:r>
              <w:rPr>
                <w:sz w:val="18"/>
              </w:rPr>
              <w:t>✓</w:t>
            </w:r>
          </w:p>
        </w:tc>
        <w:tc>
          <w:tcPr>
            <w:tcW w:type="dxa" w:w="1440"/>
          </w:tcPr>
          <w:p>
            <w:pPr>
              <w:jc w:val="center"/>
            </w:pPr>
            <w:r>
              <w:rPr>
                <w:sz w:val="18"/>
              </w:rPr>
              <w:t>N/A</w:t>
            </w:r>
          </w:p>
        </w:tc>
      </w:tr>
    </w:tbl>
    <w:p/>
    <w:p>
      <w:pPr>
        <w:jc w:val="center"/>
      </w:pPr>
      <w:r>
        <w:drawing>
          <wp:inline xmlns:a="http://schemas.openxmlformats.org/drawingml/2006/main" xmlns:pic="http://schemas.openxmlformats.org/drawingml/2006/picture">
            <wp:extent cx="5029200" cy="3119377"/>
            <wp:docPr id="2" name="Picture 2"/>
            <wp:cNvGraphicFramePr>
              <a:graphicFrameLocks noChangeAspect="1"/>
            </wp:cNvGraphicFramePr>
            <a:graphic>
              <a:graphicData uri="http://schemas.openxmlformats.org/drawingml/2006/picture">
                <pic:pic>
                  <pic:nvPicPr>
                    <pic:cNvPr id="0" name="02_fba_comparison.png"/>
                    <pic:cNvPicPr/>
                  </pic:nvPicPr>
                  <pic:blipFill>
                    <a:blip r:embed="rId10"/>
                    <a:stretch>
                      <a:fillRect/>
                    </a:stretch>
                  </pic:blipFill>
                  <pic:spPr>
                    <a:xfrm>
                      <a:off x="0" y="0"/>
                      <a:ext cx="5029200" cy="3119377"/>
                    </a:xfrm>
                    <a:prstGeom prst="rect"/>
                  </pic:spPr>
                </pic:pic>
              </a:graphicData>
            </a:graphic>
          </wp:inline>
        </w:drawing>
      </w:r>
    </w:p>
    <w:p>
      <w:pPr>
        <w:pStyle w:val="Caption"/>
        <w:jc w:val="center"/>
      </w:pPr>
      <w:r>
        <w:rPr>
          <w:i/>
          <w:sz w:val="18"/>
        </w:rPr>
        <w:t>Figure 2. FBA objective values compared across MetaboDesk, COBRApy, and literature.</w:t>
      </w:r>
    </w:p>
    <w:p>
      <w:r>
        <w:t>MetaboDesk FBA results are numerically identical to COBRApy across all three models. The E. coli core and S. cerevisiae iMM904 results match published literature values to within solver tolerance.</w:t>
      </w:r>
    </w:p>
    <w:p>
      <w:r>
        <w:br w:type="page"/>
      </w:r>
    </w:p>
    <w:p>
      <w:pPr>
        <w:pStyle w:val="Heading1"/>
      </w:pPr>
      <w:r>
        <w:t>4. Parsimonious FBA (pFBA)</w:t>
      </w:r>
    </w:p>
    <w:p>
      <w:r>
        <w:t>pFBA minimises total flux through the network while maintaining optimal growth, identifying the most enzyme-efficient flux distribution (Lewis et al., 2010). This is biologically more realistic than standard FBA as it reflects the cell's tendency to minimise protein investment.</w:t>
      </w:r>
    </w:p>
    <w:p>
      <w:pPr>
        <w:pStyle w:val="Heading2"/>
      </w:pPr>
      <w:r>
        <w:t>4.1 Results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2196F3"/>
          </w:tcPr>
          <w:p>
            <w:pPr>
              <w:jc w:val="center"/>
            </w:pPr>
            <w:r>
              <w:rPr>
                <w:b/>
                <w:color w:val="FFFFFF"/>
                <w:sz w:val="18"/>
              </w:rPr>
              <w:t>Model</w:t>
            </w:r>
          </w:p>
        </w:tc>
        <w:tc>
          <w:tcPr>
            <w:tcW w:type="dxa" w:w="2160"/>
            <w:shd w:val="clear" w:color="auto" w:fill="2196F3"/>
          </w:tcPr>
          <w:p>
            <w:pPr>
              <w:jc w:val="center"/>
            </w:pPr>
            <w:r>
              <w:rPr>
                <w:b/>
                <w:color w:val="FFFFFF"/>
                <w:sz w:val="18"/>
              </w:rPr>
              <w:t>MetaboDesk Total |Flux|</w:t>
            </w:r>
          </w:p>
        </w:tc>
        <w:tc>
          <w:tcPr>
            <w:tcW w:type="dxa" w:w="2160"/>
            <w:shd w:val="clear" w:color="auto" w:fill="2196F3"/>
          </w:tcPr>
          <w:p>
            <w:pPr>
              <w:jc w:val="center"/>
            </w:pPr>
            <w:r>
              <w:rPr>
                <w:b/>
                <w:color w:val="FFFFFF"/>
                <w:sz w:val="18"/>
              </w:rPr>
              <w:t>COBRApy Total |Flux|</w:t>
            </w:r>
          </w:p>
        </w:tc>
        <w:tc>
          <w:tcPr>
            <w:tcW w:type="dxa" w:w="2160"/>
            <w:shd w:val="clear" w:color="auto" w:fill="2196F3"/>
          </w:tcPr>
          <w:p>
            <w:pPr>
              <w:jc w:val="center"/>
            </w:pPr>
            <w:r>
              <w:rPr>
                <w:b/>
                <w:color w:val="FFFFFF"/>
                <w:sz w:val="18"/>
              </w:rPr>
              <w:t>Match</w:t>
            </w:r>
          </w:p>
        </w:tc>
      </w:tr>
      <w:tr>
        <w:tc>
          <w:tcPr>
            <w:tcW w:type="dxa" w:w="2160"/>
          </w:tcPr>
          <w:p>
            <w:pPr>
              <w:jc w:val="center"/>
            </w:pPr>
            <w:r>
              <w:rPr>
                <w:sz w:val="18"/>
              </w:rPr>
              <w:t>E. coli core</w:t>
            </w:r>
          </w:p>
        </w:tc>
        <w:tc>
          <w:tcPr>
            <w:tcW w:type="dxa" w:w="2160"/>
          </w:tcPr>
          <w:p>
            <w:pPr>
              <w:jc w:val="center"/>
            </w:pPr>
            <w:r>
              <w:rPr>
                <w:sz w:val="18"/>
              </w:rPr>
              <w:t>518.42</w:t>
            </w:r>
          </w:p>
        </w:tc>
        <w:tc>
          <w:tcPr>
            <w:tcW w:type="dxa" w:w="2160"/>
          </w:tcPr>
          <w:p>
            <w:pPr>
              <w:jc w:val="center"/>
            </w:pPr>
            <w:r>
              <w:rPr>
                <w:sz w:val="18"/>
              </w:rPr>
              <w:t>518.42</w:t>
            </w:r>
          </w:p>
        </w:tc>
        <w:tc>
          <w:tcPr>
            <w:tcW w:type="dxa" w:w="2160"/>
          </w:tcPr>
          <w:p>
            <w:pPr>
              <w:jc w:val="center"/>
            </w:pPr>
            <w:r>
              <w:rPr>
                <w:sz w:val="18"/>
              </w:rPr>
              <w:t>✓</w:t>
            </w:r>
          </w:p>
        </w:tc>
      </w:tr>
      <w:tr>
        <w:tc>
          <w:tcPr>
            <w:tcW w:type="dxa" w:w="2160"/>
            <w:shd w:val="clear" w:color="auto" w:fill="E3F2FD"/>
          </w:tcPr>
          <w:p>
            <w:pPr>
              <w:jc w:val="center"/>
            </w:pPr>
            <w:r>
              <w:rPr>
                <w:sz w:val="18"/>
              </w:rPr>
              <w:t>S. cerevisiae iMM904</w:t>
            </w:r>
          </w:p>
        </w:tc>
        <w:tc>
          <w:tcPr>
            <w:tcW w:type="dxa" w:w="2160"/>
            <w:shd w:val="clear" w:color="auto" w:fill="E3F2FD"/>
          </w:tcPr>
          <w:p>
            <w:pPr>
              <w:jc w:val="center"/>
            </w:pPr>
            <w:r>
              <w:rPr>
                <w:sz w:val="18"/>
              </w:rPr>
              <w:t>338.01</w:t>
            </w:r>
          </w:p>
        </w:tc>
        <w:tc>
          <w:tcPr>
            <w:tcW w:type="dxa" w:w="2160"/>
            <w:shd w:val="clear" w:color="auto" w:fill="E3F2FD"/>
          </w:tcPr>
          <w:p>
            <w:pPr>
              <w:jc w:val="center"/>
            </w:pPr>
            <w:r>
              <w:rPr>
                <w:sz w:val="18"/>
              </w:rPr>
              <w:t>338.01</w:t>
            </w:r>
          </w:p>
        </w:tc>
        <w:tc>
          <w:tcPr>
            <w:tcW w:type="dxa" w:w="2160"/>
            <w:shd w:val="clear" w:color="auto" w:fill="E3F2FD"/>
          </w:tcPr>
          <w:p>
            <w:pPr>
              <w:jc w:val="center"/>
            </w:pPr>
            <w:r>
              <w:rPr>
                <w:sz w:val="18"/>
              </w:rPr>
              <w:t>✓</w:t>
            </w:r>
          </w:p>
        </w:tc>
      </w:tr>
      <w:tr>
        <w:tc>
          <w:tcPr>
            <w:tcW w:type="dxa" w:w="2160"/>
          </w:tcPr>
          <w:p>
            <w:pPr>
              <w:jc w:val="center"/>
            </w:pPr>
            <w:r>
              <w:rPr>
                <w:sz w:val="18"/>
              </w:rPr>
              <w:t>H. sapiens RECON1</w:t>
            </w:r>
          </w:p>
        </w:tc>
        <w:tc>
          <w:tcPr>
            <w:tcW w:type="dxa" w:w="2160"/>
          </w:tcPr>
          <w:p>
            <w:pPr>
              <w:jc w:val="center"/>
            </w:pPr>
            <w:r>
              <w:rPr>
                <w:sz w:val="18"/>
              </w:rPr>
              <w:t>366.67</w:t>
            </w:r>
          </w:p>
        </w:tc>
        <w:tc>
          <w:tcPr>
            <w:tcW w:type="dxa" w:w="2160"/>
          </w:tcPr>
          <w:p>
            <w:pPr>
              <w:jc w:val="center"/>
            </w:pPr>
            <w:r>
              <w:rPr>
                <w:sz w:val="18"/>
              </w:rPr>
              <w:t>366.67</w:t>
            </w:r>
          </w:p>
        </w:tc>
        <w:tc>
          <w:tcPr>
            <w:tcW w:type="dxa" w:w="2160"/>
          </w:tcPr>
          <w:p>
            <w:pPr>
              <w:jc w:val="center"/>
            </w:pPr>
            <w:r>
              <w:rPr>
                <w:sz w:val="18"/>
              </w:rPr>
              <w:t>✓</w:t>
            </w:r>
          </w:p>
        </w:tc>
      </w:tr>
    </w:tbl>
    <w:p/>
    <w:p>
      <w:pPr>
        <w:jc w:val="center"/>
      </w:pPr>
      <w:r>
        <w:drawing>
          <wp:inline xmlns:a="http://schemas.openxmlformats.org/drawingml/2006/main" xmlns:pic="http://schemas.openxmlformats.org/drawingml/2006/picture">
            <wp:extent cx="5029200" cy="3119377"/>
            <wp:docPr id="3" name="Picture 3"/>
            <wp:cNvGraphicFramePr>
              <a:graphicFrameLocks noChangeAspect="1"/>
            </wp:cNvGraphicFramePr>
            <a:graphic>
              <a:graphicData uri="http://schemas.openxmlformats.org/drawingml/2006/picture">
                <pic:pic>
                  <pic:nvPicPr>
                    <pic:cNvPr id="0" name="03_pfba_total_flux.png"/>
                    <pic:cNvPicPr/>
                  </pic:nvPicPr>
                  <pic:blipFill>
                    <a:blip r:embed="rId11"/>
                    <a:stretch>
                      <a:fillRect/>
                    </a:stretch>
                  </pic:blipFill>
                  <pic:spPr>
                    <a:xfrm>
                      <a:off x="0" y="0"/>
                      <a:ext cx="5029200" cy="3119377"/>
                    </a:xfrm>
                    <a:prstGeom prst="rect"/>
                  </pic:spPr>
                </pic:pic>
              </a:graphicData>
            </a:graphic>
          </wp:inline>
        </w:drawing>
      </w:r>
    </w:p>
    <w:p>
      <w:pPr>
        <w:pStyle w:val="Caption"/>
        <w:jc w:val="center"/>
      </w:pPr>
      <w:r>
        <w:rPr>
          <w:i/>
          <w:sz w:val="18"/>
        </w:rPr>
        <w:t>Figure 3. pFBA total absolute flux comparison between MetaboDesk and COBRApy.</w:t>
      </w:r>
    </w:p>
    <w:p>
      <w:r>
        <w:t>MetaboDesk pFBA results are identical to COBRApy for all three models. The total flux values confirm that both implementations correctly minimise the sum of absolute fluxes while maintaining optimal growth.</w:t>
      </w:r>
    </w:p>
    <w:p>
      <w:r>
        <w:br w:type="page"/>
      </w:r>
    </w:p>
    <w:p>
      <w:pPr>
        <w:pStyle w:val="Heading1"/>
      </w:pPr>
      <w:r>
        <w:t>5. Flux Variability Analysis (FVA)</w:t>
      </w:r>
    </w:p>
    <w:p>
      <w:r>
        <w:t>FVA determines the minimum and maximum flux each reaction can carry while maintaining a specified fraction of optimal growth (Mahadevan &amp; Schilling, 2003). It reveals metabolic flexibility and identifies blocked or essential reactions.</w:t>
      </w:r>
    </w:p>
    <w:p>
      <w:pPr>
        <w:pStyle w:val="Heading2"/>
      </w:pPr>
      <w:r>
        <w:t>5.1 Results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2196F3"/>
          </w:tcPr>
          <w:p>
            <w:pPr>
              <w:jc w:val="center"/>
            </w:pPr>
            <w:r>
              <w:rPr>
                <w:b/>
                <w:color w:val="FFFFFF"/>
                <w:sz w:val="18"/>
              </w:rPr>
              <w:t>Model</w:t>
            </w:r>
          </w:p>
        </w:tc>
        <w:tc>
          <w:tcPr>
            <w:tcW w:type="dxa" w:w="1440"/>
            <w:shd w:val="clear" w:color="auto" w:fill="2196F3"/>
          </w:tcPr>
          <w:p>
            <w:pPr>
              <w:jc w:val="center"/>
            </w:pPr>
            <w:r>
              <w:rPr>
                <w:b/>
                <w:color w:val="FFFFFF"/>
                <w:sz w:val="18"/>
              </w:rPr>
              <w:t>Total Rxns</w:t>
            </w:r>
          </w:p>
        </w:tc>
        <w:tc>
          <w:tcPr>
            <w:tcW w:type="dxa" w:w="1440"/>
            <w:shd w:val="clear" w:color="auto" w:fill="2196F3"/>
          </w:tcPr>
          <w:p>
            <w:pPr>
              <w:jc w:val="center"/>
            </w:pPr>
            <w:r>
              <w:rPr>
                <w:b/>
                <w:color w:val="FFFFFF"/>
                <w:sz w:val="18"/>
              </w:rPr>
              <w:t>Blocked</w:t>
            </w:r>
          </w:p>
        </w:tc>
        <w:tc>
          <w:tcPr>
            <w:tcW w:type="dxa" w:w="1440"/>
            <w:shd w:val="clear" w:color="auto" w:fill="2196F3"/>
          </w:tcPr>
          <w:p>
            <w:pPr>
              <w:jc w:val="center"/>
            </w:pPr>
            <w:r>
              <w:rPr>
                <w:b/>
                <w:color w:val="FFFFFF"/>
                <w:sz w:val="18"/>
              </w:rPr>
              <w:t>Variable</w:t>
            </w:r>
          </w:p>
        </w:tc>
        <w:tc>
          <w:tcPr>
            <w:tcW w:type="dxa" w:w="1440"/>
            <w:shd w:val="clear" w:color="auto" w:fill="2196F3"/>
          </w:tcPr>
          <w:p>
            <w:pPr>
              <w:jc w:val="center"/>
            </w:pPr>
            <w:r>
              <w:rPr>
                <w:b/>
                <w:color w:val="FFFFFF"/>
                <w:sz w:val="18"/>
              </w:rPr>
              <w:t>Mismatches</w:t>
            </w:r>
          </w:p>
        </w:tc>
        <w:tc>
          <w:tcPr>
            <w:tcW w:type="dxa" w:w="1440"/>
            <w:shd w:val="clear" w:color="auto" w:fill="2196F3"/>
          </w:tcPr>
          <w:p>
            <w:pPr>
              <w:jc w:val="center"/>
            </w:pPr>
            <w:r>
              <w:rPr>
                <w:b/>
                <w:color w:val="FFFFFF"/>
                <w:sz w:val="18"/>
              </w:rPr>
              <w:t>Match</w:t>
            </w:r>
          </w:p>
        </w:tc>
      </w:tr>
      <w:tr>
        <w:tc>
          <w:tcPr>
            <w:tcW w:type="dxa" w:w="1440"/>
          </w:tcPr>
          <w:p>
            <w:pPr>
              <w:jc w:val="center"/>
            </w:pPr>
            <w:r>
              <w:rPr>
                <w:sz w:val="18"/>
              </w:rPr>
              <w:t>E. coli core</w:t>
            </w:r>
          </w:p>
        </w:tc>
        <w:tc>
          <w:tcPr>
            <w:tcW w:type="dxa" w:w="1440"/>
          </w:tcPr>
          <w:p>
            <w:pPr>
              <w:jc w:val="center"/>
            </w:pPr>
            <w:r>
              <w:rPr>
                <w:sz w:val="18"/>
              </w:rPr>
              <w:t>95</w:t>
            </w:r>
          </w:p>
        </w:tc>
        <w:tc>
          <w:tcPr>
            <w:tcW w:type="dxa" w:w="1440"/>
          </w:tcPr>
          <w:p>
            <w:pPr>
              <w:jc w:val="center"/>
            </w:pPr>
            <w:r>
              <w:rPr>
                <w:sz w:val="18"/>
              </w:rPr>
              <w:t>46</w:t>
            </w:r>
          </w:p>
        </w:tc>
        <w:tc>
          <w:tcPr>
            <w:tcW w:type="dxa" w:w="1440"/>
          </w:tcPr>
          <w:p>
            <w:pPr>
              <w:jc w:val="center"/>
            </w:pPr>
            <w:r>
              <w:rPr>
                <w:sz w:val="18"/>
              </w:rPr>
              <w:t>49</w:t>
            </w:r>
          </w:p>
        </w:tc>
        <w:tc>
          <w:tcPr>
            <w:tcW w:type="dxa" w:w="1440"/>
          </w:tcPr>
          <w:p>
            <w:pPr>
              <w:jc w:val="center"/>
            </w:pPr>
            <w:r>
              <w:rPr>
                <w:sz w:val="18"/>
              </w:rPr>
              <w:t>0</w:t>
            </w:r>
          </w:p>
        </w:tc>
        <w:tc>
          <w:tcPr>
            <w:tcW w:type="dxa" w:w="1440"/>
          </w:tcPr>
          <w:p>
            <w:pPr>
              <w:jc w:val="center"/>
            </w:pPr>
            <w:r>
              <w:rPr>
                <w:sz w:val="18"/>
              </w:rPr>
              <w:t>✓</w:t>
            </w:r>
          </w:p>
        </w:tc>
      </w:tr>
      <w:tr>
        <w:tc>
          <w:tcPr>
            <w:tcW w:type="dxa" w:w="1440"/>
            <w:shd w:val="clear" w:color="auto" w:fill="E3F2FD"/>
          </w:tcPr>
          <w:p>
            <w:pPr>
              <w:jc w:val="center"/>
            </w:pPr>
            <w:r>
              <w:rPr>
                <w:sz w:val="18"/>
              </w:rPr>
              <w:t>S. cerevisiae iMM904</w:t>
            </w:r>
          </w:p>
        </w:tc>
        <w:tc>
          <w:tcPr>
            <w:tcW w:type="dxa" w:w="1440"/>
            <w:shd w:val="clear" w:color="auto" w:fill="E3F2FD"/>
          </w:tcPr>
          <w:p>
            <w:pPr>
              <w:jc w:val="center"/>
            </w:pPr>
            <w:r>
              <w:rPr>
                <w:sz w:val="18"/>
              </w:rPr>
              <w:t>1577</w:t>
            </w:r>
          </w:p>
        </w:tc>
        <w:tc>
          <w:tcPr>
            <w:tcW w:type="dxa" w:w="1440"/>
            <w:shd w:val="clear" w:color="auto" w:fill="E3F2FD"/>
          </w:tcPr>
          <w:p>
            <w:pPr>
              <w:jc w:val="center"/>
            </w:pPr>
            <w:r>
              <w:rPr>
                <w:sz w:val="18"/>
              </w:rPr>
              <w:t>1182</w:t>
            </w:r>
          </w:p>
        </w:tc>
        <w:tc>
          <w:tcPr>
            <w:tcW w:type="dxa" w:w="1440"/>
            <w:shd w:val="clear" w:color="auto" w:fill="E3F2FD"/>
          </w:tcPr>
          <w:p>
            <w:pPr>
              <w:jc w:val="center"/>
            </w:pPr>
            <w:r>
              <w:rPr>
                <w:sz w:val="18"/>
              </w:rPr>
              <w:t>395</w:t>
            </w:r>
          </w:p>
        </w:tc>
        <w:tc>
          <w:tcPr>
            <w:tcW w:type="dxa" w:w="1440"/>
            <w:shd w:val="clear" w:color="auto" w:fill="E3F2FD"/>
          </w:tcPr>
          <w:p>
            <w:pPr>
              <w:jc w:val="center"/>
            </w:pPr>
            <w:r>
              <w:rPr>
                <w:sz w:val="18"/>
              </w:rPr>
              <w:t>0</w:t>
            </w:r>
          </w:p>
        </w:tc>
        <w:tc>
          <w:tcPr>
            <w:tcW w:type="dxa" w:w="1440"/>
            <w:shd w:val="clear" w:color="auto" w:fill="E3F2FD"/>
          </w:tcPr>
          <w:p>
            <w:pPr>
              <w:jc w:val="center"/>
            </w:pPr>
            <w:r>
              <w:rPr>
                <w:sz w:val="18"/>
              </w:rPr>
              <w:t>✓</w:t>
            </w:r>
          </w:p>
        </w:tc>
      </w:tr>
      <w:tr>
        <w:tc>
          <w:tcPr>
            <w:tcW w:type="dxa" w:w="1440"/>
          </w:tcPr>
          <w:p>
            <w:pPr>
              <w:jc w:val="center"/>
            </w:pPr>
            <w:r>
              <w:rPr>
                <w:sz w:val="18"/>
              </w:rPr>
              <w:t>H. sapiens RECON1</w:t>
            </w:r>
          </w:p>
        </w:tc>
        <w:tc>
          <w:tcPr>
            <w:tcW w:type="dxa" w:w="1440"/>
          </w:tcPr>
          <w:p>
            <w:pPr>
              <w:jc w:val="center"/>
            </w:pPr>
            <w:r>
              <w:rPr>
                <w:sz w:val="18"/>
              </w:rPr>
              <w:t>3742</w:t>
            </w:r>
          </w:p>
        </w:tc>
        <w:tc>
          <w:tcPr>
            <w:tcW w:type="dxa" w:w="1440"/>
          </w:tcPr>
          <w:p>
            <w:pPr>
              <w:jc w:val="center"/>
            </w:pPr>
            <w:r>
              <w:rPr>
                <w:sz w:val="18"/>
              </w:rPr>
              <w:t>1274</w:t>
            </w:r>
          </w:p>
        </w:tc>
        <w:tc>
          <w:tcPr>
            <w:tcW w:type="dxa" w:w="1440"/>
          </w:tcPr>
          <w:p>
            <w:pPr>
              <w:jc w:val="center"/>
            </w:pPr>
            <w:r>
              <w:rPr>
                <w:sz w:val="18"/>
              </w:rPr>
              <w:t>2468</w:t>
            </w:r>
          </w:p>
        </w:tc>
        <w:tc>
          <w:tcPr>
            <w:tcW w:type="dxa" w:w="1440"/>
          </w:tcPr>
          <w:p>
            <w:pPr>
              <w:jc w:val="center"/>
            </w:pPr>
            <w:r>
              <w:rPr>
                <w:sz w:val="18"/>
              </w:rPr>
              <w:t>0</w:t>
            </w:r>
          </w:p>
        </w:tc>
        <w:tc>
          <w:tcPr>
            <w:tcW w:type="dxa" w:w="1440"/>
          </w:tcPr>
          <w:p>
            <w:pPr>
              <w:jc w:val="center"/>
            </w:pPr>
            <w:r>
              <w:rPr>
                <w:sz w:val="18"/>
              </w:rPr>
              <w:t>✓</w:t>
            </w:r>
          </w:p>
        </w:tc>
      </w:tr>
    </w:tbl>
    <w:p/>
    <w:p>
      <w:pPr>
        <w:jc w:val="center"/>
      </w:pPr>
      <w:r>
        <w:drawing>
          <wp:inline xmlns:a="http://schemas.openxmlformats.org/drawingml/2006/main" xmlns:pic="http://schemas.openxmlformats.org/drawingml/2006/picture">
            <wp:extent cx="5029200" cy="2489200"/>
            <wp:docPr id="4" name="Picture 4"/>
            <wp:cNvGraphicFramePr>
              <a:graphicFrameLocks noChangeAspect="1"/>
            </wp:cNvGraphicFramePr>
            <a:graphic>
              <a:graphicData uri="http://schemas.openxmlformats.org/drawingml/2006/picture">
                <pic:pic>
                  <pic:nvPicPr>
                    <pic:cNvPr id="0" name="04_fva_e_coli_core.png"/>
                    <pic:cNvPicPr/>
                  </pic:nvPicPr>
                  <pic:blipFill>
                    <a:blip r:embed="rId12"/>
                    <a:stretch>
                      <a:fillRect/>
                    </a:stretch>
                  </pic:blipFill>
                  <pic:spPr>
                    <a:xfrm>
                      <a:off x="0" y="0"/>
                      <a:ext cx="5029200" cy="2489200"/>
                    </a:xfrm>
                    <a:prstGeom prst="rect"/>
                  </pic:spPr>
                </pic:pic>
              </a:graphicData>
            </a:graphic>
          </wp:inline>
        </w:drawing>
      </w:r>
    </w:p>
    <w:p>
      <w:pPr>
        <w:pStyle w:val="Caption"/>
        <w:jc w:val="center"/>
      </w:pPr>
      <w:r>
        <w:rPr>
          <w:i/>
          <w:sz w:val="18"/>
        </w:rPr>
        <w:t>Figure. FVA flux ranges for E. coli core — top 15 most variable reactions (fraction of optimum = 1.0).</w:t>
      </w:r>
    </w:p>
    <w:p>
      <w:pPr>
        <w:jc w:val="center"/>
      </w:pPr>
      <w:r>
        <w:drawing>
          <wp:inline xmlns:a="http://schemas.openxmlformats.org/drawingml/2006/main" xmlns:pic="http://schemas.openxmlformats.org/drawingml/2006/picture">
            <wp:extent cx="5029200" cy="2489200"/>
            <wp:docPr id="5" name="Picture 5"/>
            <wp:cNvGraphicFramePr>
              <a:graphicFrameLocks noChangeAspect="1"/>
            </wp:cNvGraphicFramePr>
            <a:graphic>
              <a:graphicData uri="http://schemas.openxmlformats.org/drawingml/2006/picture">
                <pic:pic>
                  <pic:nvPicPr>
                    <pic:cNvPr id="0" name="04_fva_iMM904.png"/>
                    <pic:cNvPicPr/>
                  </pic:nvPicPr>
                  <pic:blipFill>
                    <a:blip r:embed="rId13"/>
                    <a:stretch>
                      <a:fillRect/>
                    </a:stretch>
                  </pic:blipFill>
                  <pic:spPr>
                    <a:xfrm>
                      <a:off x="0" y="0"/>
                      <a:ext cx="5029200" cy="2489200"/>
                    </a:xfrm>
                    <a:prstGeom prst="rect"/>
                  </pic:spPr>
                </pic:pic>
              </a:graphicData>
            </a:graphic>
          </wp:inline>
        </w:drawing>
      </w:r>
    </w:p>
    <w:p>
      <w:pPr>
        <w:pStyle w:val="Caption"/>
        <w:jc w:val="center"/>
      </w:pPr>
      <w:r>
        <w:rPr>
          <w:i/>
          <w:sz w:val="18"/>
        </w:rPr>
        <w:t>Figure. FVA flux ranges for S. cerevisiae iMM904 — top 15 most variable reactions (fraction of optimum = 1.0).</w:t>
      </w:r>
    </w:p>
    <w:p>
      <w:pPr>
        <w:jc w:val="center"/>
      </w:pPr>
      <w:r>
        <w:drawing>
          <wp:inline xmlns:a="http://schemas.openxmlformats.org/drawingml/2006/main" xmlns:pic="http://schemas.openxmlformats.org/drawingml/2006/picture">
            <wp:extent cx="5029200" cy="2489200"/>
            <wp:docPr id="6" name="Picture 6"/>
            <wp:cNvGraphicFramePr>
              <a:graphicFrameLocks noChangeAspect="1"/>
            </wp:cNvGraphicFramePr>
            <a:graphic>
              <a:graphicData uri="http://schemas.openxmlformats.org/drawingml/2006/picture">
                <pic:pic>
                  <pic:nvPicPr>
                    <pic:cNvPr id="0" name="04_fva_RECON1.png"/>
                    <pic:cNvPicPr/>
                  </pic:nvPicPr>
                  <pic:blipFill>
                    <a:blip r:embed="rId14"/>
                    <a:stretch>
                      <a:fillRect/>
                    </a:stretch>
                  </pic:blipFill>
                  <pic:spPr>
                    <a:xfrm>
                      <a:off x="0" y="0"/>
                      <a:ext cx="5029200" cy="2489200"/>
                    </a:xfrm>
                    <a:prstGeom prst="rect"/>
                  </pic:spPr>
                </pic:pic>
              </a:graphicData>
            </a:graphic>
          </wp:inline>
        </w:drawing>
      </w:r>
    </w:p>
    <w:p>
      <w:pPr>
        <w:pStyle w:val="Caption"/>
        <w:jc w:val="center"/>
      </w:pPr>
      <w:r>
        <w:rPr>
          <w:i/>
          <w:sz w:val="18"/>
        </w:rPr>
        <w:t>Figure. FVA flux ranges for H. sapiens RECON1 — top 15 most variable reactions (fraction of optimum = 1.0).</w:t>
      </w:r>
    </w:p>
    <w:p>
      <w:r>
        <w:t>MetaboDesk FVA results show zero mismatches compared to COBRApy across all three models, confirming correct implementation of flux variability analysis.</w:t>
      </w:r>
    </w:p>
    <w:p>
      <w:r>
        <w:br w:type="page"/>
      </w:r>
    </w:p>
    <w:p>
      <w:pPr>
        <w:pStyle w:val="Heading1"/>
      </w:pPr>
      <w:r>
        <w:t>6. Single Gene Deletion (SGD)</w:t>
      </w:r>
    </w:p>
    <w:p>
      <w:r>
        <w:t>SGD systematically evaluates the effect of deleting each gene individually on the cellular objective. Genes whose deletion reduces growth below 1% of wild-type are classified as essential. Experimental validation is available from the Keio collection (Baba et al., 2006) for E. coli and the yeast deletion library (Giaever et al., 2002) for S. cerevisiae.</w:t>
      </w:r>
    </w:p>
    <w:p>
      <w:pPr>
        <w:pStyle w:val="Heading2"/>
      </w:pPr>
      <w:r>
        <w:t>6.1 Results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2196F3"/>
          </w:tcPr>
          <w:p>
            <w:pPr>
              <w:jc w:val="center"/>
            </w:pPr>
            <w:r>
              <w:rPr>
                <w:b/>
                <w:color w:val="FFFFFF"/>
                <w:sz w:val="18"/>
              </w:rPr>
              <w:t>Model</w:t>
            </w:r>
          </w:p>
        </w:tc>
        <w:tc>
          <w:tcPr>
            <w:tcW w:type="dxa" w:w="1440"/>
            <w:shd w:val="clear" w:color="auto" w:fill="2196F3"/>
          </w:tcPr>
          <w:p>
            <w:pPr>
              <w:jc w:val="center"/>
            </w:pPr>
            <w:r>
              <w:rPr>
                <w:b/>
                <w:color w:val="FFFFFF"/>
                <w:sz w:val="18"/>
              </w:rPr>
              <w:t>Genes Tested</w:t>
            </w:r>
          </w:p>
        </w:tc>
        <w:tc>
          <w:tcPr>
            <w:tcW w:type="dxa" w:w="1440"/>
            <w:shd w:val="clear" w:color="auto" w:fill="2196F3"/>
          </w:tcPr>
          <w:p>
            <w:pPr>
              <w:jc w:val="center"/>
            </w:pPr>
            <w:r>
              <w:rPr>
                <w:b/>
                <w:color w:val="FFFFFF"/>
                <w:sz w:val="18"/>
              </w:rPr>
              <w:t>COBRApy Essential</w:t>
            </w:r>
          </w:p>
        </w:tc>
        <w:tc>
          <w:tcPr>
            <w:tcW w:type="dxa" w:w="1440"/>
            <w:shd w:val="clear" w:color="auto" w:fill="2196F3"/>
          </w:tcPr>
          <w:p>
            <w:pPr>
              <w:jc w:val="center"/>
            </w:pPr>
            <w:r>
              <w:rPr>
                <w:b/>
                <w:color w:val="FFFFFF"/>
                <w:sz w:val="18"/>
              </w:rPr>
              <w:t>MetaboDesk Essential</w:t>
            </w:r>
          </w:p>
        </w:tc>
        <w:tc>
          <w:tcPr>
            <w:tcW w:type="dxa" w:w="1440"/>
            <w:shd w:val="clear" w:color="auto" w:fill="2196F3"/>
          </w:tcPr>
          <w:p>
            <w:pPr>
              <w:jc w:val="center"/>
            </w:pPr>
            <w:r>
              <w:rPr>
                <w:b/>
                <w:color w:val="FFFFFF"/>
                <w:sz w:val="18"/>
              </w:rPr>
              <w:t>Literature</w:t>
            </w:r>
          </w:p>
        </w:tc>
        <w:tc>
          <w:tcPr>
            <w:tcW w:type="dxa" w:w="1440"/>
            <w:shd w:val="clear" w:color="auto" w:fill="2196F3"/>
          </w:tcPr>
          <w:p>
            <w:pPr>
              <w:jc w:val="center"/>
            </w:pPr>
            <w:r>
              <w:rPr>
                <w:b/>
                <w:color w:val="FFFFFF"/>
                <w:sz w:val="18"/>
              </w:rPr>
              <w:t>MD=COBRApy</w:t>
            </w:r>
          </w:p>
        </w:tc>
      </w:tr>
      <w:tr>
        <w:tc>
          <w:tcPr>
            <w:tcW w:type="dxa" w:w="1440"/>
          </w:tcPr>
          <w:p>
            <w:pPr>
              <w:jc w:val="center"/>
            </w:pPr>
            <w:r>
              <w:rPr>
                <w:sz w:val="18"/>
              </w:rPr>
              <w:t>E. coli core</w:t>
            </w:r>
          </w:p>
        </w:tc>
        <w:tc>
          <w:tcPr>
            <w:tcW w:type="dxa" w:w="1440"/>
          </w:tcPr>
          <w:p>
            <w:pPr>
              <w:jc w:val="center"/>
            </w:pPr>
            <w:r>
              <w:rPr>
                <w:sz w:val="18"/>
              </w:rPr>
              <w:t>137</w:t>
            </w:r>
          </w:p>
        </w:tc>
        <w:tc>
          <w:tcPr>
            <w:tcW w:type="dxa" w:w="1440"/>
          </w:tcPr>
          <w:p>
            <w:pPr>
              <w:jc w:val="center"/>
            </w:pPr>
            <w:r>
              <w:rPr>
                <w:sz w:val="18"/>
              </w:rPr>
              <w:t>7</w:t>
            </w:r>
          </w:p>
        </w:tc>
        <w:tc>
          <w:tcPr>
            <w:tcW w:type="dxa" w:w="1440"/>
          </w:tcPr>
          <w:p>
            <w:pPr>
              <w:jc w:val="center"/>
            </w:pPr>
            <w:r>
              <w:rPr>
                <w:sz w:val="18"/>
              </w:rPr>
              <w:t>7</w:t>
            </w:r>
          </w:p>
        </w:tc>
        <w:tc>
          <w:tcPr>
            <w:tcW w:type="dxa" w:w="1440"/>
          </w:tcPr>
          <w:p>
            <w:pPr>
              <w:jc w:val="center"/>
            </w:pPr>
            <w:r>
              <w:rPr>
                <w:sz w:val="18"/>
              </w:rPr>
              <w:t>7</w:t>
            </w:r>
          </w:p>
        </w:tc>
        <w:tc>
          <w:tcPr>
            <w:tcW w:type="dxa" w:w="1440"/>
          </w:tcPr>
          <w:p>
            <w:pPr>
              <w:jc w:val="center"/>
            </w:pPr>
            <w:r>
              <w:rPr>
                <w:sz w:val="18"/>
              </w:rPr>
              <w:t>✓</w:t>
            </w:r>
          </w:p>
        </w:tc>
      </w:tr>
      <w:tr>
        <w:tc>
          <w:tcPr>
            <w:tcW w:type="dxa" w:w="1440"/>
            <w:shd w:val="clear" w:color="auto" w:fill="E3F2FD"/>
          </w:tcPr>
          <w:p>
            <w:pPr>
              <w:jc w:val="center"/>
            </w:pPr>
            <w:r>
              <w:rPr>
                <w:sz w:val="18"/>
              </w:rPr>
              <w:t>S. cerevisiae iMM904</w:t>
            </w:r>
          </w:p>
        </w:tc>
        <w:tc>
          <w:tcPr>
            <w:tcW w:type="dxa" w:w="1440"/>
            <w:shd w:val="clear" w:color="auto" w:fill="E3F2FD"/>
          </w:tcPr>
          <w:p>
            <w:pPr>
              <w:jc w:val="center"/>
            </w:pPr>
            <w:r>
              <w:rPr>
                <w:sz w:val="18"/>
              </w:rPr>
              <w:t>905</w:t>
            </w:r>
          </w:p>
        </w:tc>
        <w:tc>
          <w:tcPr>
            <w:tcW w:type="dxa" w:w="1440"/>
            <w:shd w:val="clear" w:color="auto" w:fill="E3F2FD"/>
          </w:tcPr>
          <w:p>
            <w:pPr>
              <w:jc w:val="center"/>
            </w:pPr>
            <w:r>
              <w:rPr>
                <w:sz w:val="18"/>
              </w:rPr>
              <w:t>110</w:t>
            </w:r>
          </w:p>
        </w:tc>
        <w:tc>
          <w:tcPr>
            <w:tcW w:type="dxa" w:w="1440"/>
            <w:shd w:val="clear" w:color="auto" w:fill="E3F2FD"/>
          </w:tcPr>
          <w:p>
            <w:pPr>
              <w:jc w:val="center"/>
            </w:pPr>
            <w:r>
              <w:rPr>
                <w:sz w:val="18"/>
              </w:rPr>
              <w:t>110</w:t>
            </w:r>
          </w:p>
        </w:tc>
        <w:tc>
          <w:tcPr>
            <w:tcW w:type="dxa" w:w="1440"/>
            <w:shd w:val="clear" w:color="auto" w:fill="E3F2FD"/>
          </w:tcPr>
          <w:p>
            <w:pPr>
              <w:jc w:val="center"/>
            </w:pPr>
            <w:r>
              <w:rPr>
                <w:sz w:val="18"/>
              </w:rPr>
              <w:t>N/A</w:t>
            </w:r>
          </w:p>
        </w:tc>
        <w:tc>
          <w:tcPr>
            <w:tcW w:type="dxa" w:w="1440"/>
            <w:shd w:val="clear" w:color="auto" w:fill="E3F2FD"/>
          </w:tcPr>
          <w:p>
            <w:pPr>
              <w:jc w:val="center"/>
            </w:pPr>
            <w:r>
              <w:rPr>
                <w:sz w:val="18"/>
              </w:rPr>
              <w:t>✓</w:t>
            </w:r>
          </w:p>
        </w:tc>
      </w:tr>
      <w:tr>
        <w:tc>
          <w:tcPr>
            <w:tcW w:type="dxa" w:w="1440"/>
          </w:tcPr>
          <w:p>
            <w:pPr>
              <w:jc w:val="center"/>
            </w:pPr>
            <w:r>
              <w:rPr>
                <w:sz w:val="18"/>
              </w:rPr>
              <w:t>H. sapiens RECON1</w:t>
            </w:r>
          </w:p>
        </w:tc>
        <w:tc>
          <w:tcPr>
            <w:tcW w:type="dxa" w:w="1440"/>
          </w:tcPr>
          <w:p>
            <w:pPr>
              <w:jc w:val="center"/>
            </w:pPr>
            <w:r>
              <w:rPr>
                <w:sz w:val="18"/>
              </w:rPr>
              <w:t>200 (Sampled 200/1905 genes)</w:t>
            </w:r>
          </w:p>
        </w:tc>
        <w:tc>
          <w:tcPr>
            <w:tcW w:type="dxa" w:w="1440"/>
          </w:tcPr>
          <w:p>
            <w:pPr>
              <w:jc w:val="center"/>
            </w:pPr>
            <w:r>
              <w:rPr>
                <w:sz w:val="18"/>
              </w:rPr>
              <w:t>0</w:t>
            </w:r>
          </w:p>
        </w:tc>
        <w:tc>
          <w:tcPr>
            <w:tcW w:type="dxa" w:w="1440"/>
          </w:tcPr>
          <w:p>
            <w:pPr>
              <w:jc w:val="center"/>
            </w:pPr>
            <w:r>
              <w:rPr>
                <w:sz w:val="18"/>
              </w:rPr>
              <w:t>0</w:t>
            </w:r>
          </w:p>
        </w:tc>
        <w:tc>
          <w:tcPr>
            <w:tcW w:type="dxa" w:w="1440"/>
          </w:tcPr>
          <w:p>
            <w:pPr>
              <w:jc w:val="center"/>
            </w:pPr>
            <w:r>
              <w:rPr>
                <w:sz w:val="18"/>
              </w:rPr>
              <w:t>N/A</w:t>
            </w:r>
          </w:p>
        </w:tc>
        <w:tc>
          <w:tcPr>
            <w:tcW w:type="dxa" w:w="1440"/>
          </w:tcPr>
          <w:p>
            <w:pPr>
              <w:jc w:val="center"/>
            </w:pPr>
            <w:r>
              <w:rPr>
                <w:sz w:val="18"/>
              </w:rPr>
              <w:t>✓</w:t>
            </w:r>
          </w:p>
        </w:tc>
      </w:tr>
    </w:tbl>
    <w:p/>
    <w:p>
      <w:pPr>
        <w:jc w:val="center"/>
      </w:pPr>
      <w:r>
        <w:drawing>
          <wp:inline xmlns:a="http://schemas.openxmlformats.org/drawingml/2006/main" xmlns:pic="http://schemas.openxmlformats.org/drawingml/2006/picture">
            <wp:extent cx="5029200" cy="3119377"/>
            <wp:docPr id="7" name="Picture 7"/>
            <wp:cNvGraphicFramePr>
              <a:graphicFrameLocks noChangeAspect="1"/>
            </wp:cNvGraphicFramePr>
            <a:graphic>
              <a:graphicData uri="http://schemas.openxmlformats.org/drawingml/2006/picture">
                <pic:pic>
                  <pic:nvPicPr>
                    <pic:cNvPr id="0" name="05_essential_genes.png"/>
                    <pic:cNvPicPr/>
                  </pic:nvPicPr>
                  <pic:blipFill>
                    <a:blip r:embed="rId15"/>
                    <a:stretch>
                      <a:fillRect/>
                    </a:stretch>
                  </pic:blipFill>
                  <pic:spPr>
                    <a:xfrm>
                      <a:off x="0" y="0"/>
                      <a:ext cx="5029200" cy="3119377"/>
                    </a:xfrm>
                    <a:prstGeom prst="rect"/>
                  </pic:spPr>
                </pic:pic>
              </a:graphicData>
            </a:graphic>
          </wp:inline>
        </w:drawing>
      </w:r>
    </w:p>
    <w:p>
      <w:pPr>
        <w:pStyle w:val="Caption"/>
        <w:jc w:val="center"/>
      </w:pPr>
      <w:r>
        <w:rPr>
          <w:i/>
          <w:sz w:val="18"/>
        </w:rPr>
        <w:t>Figure. Essential vs non-essential genes across all models (SGD analysis).</w:t>
      </w:r>
    </w:p>
    <w:p>
      <w:pPr>
        <w:jc w:val="center"/>
      </w:pPr>
      <w:r>
        <w:drawing>
          <wp:inline xmlns:a="http://schemas.openxmlformats.org/drawingml/2006/main" xmlns:pic="http://schemas.openxmlformats.org/drawingml/2006/picture">
            <wp:extent cx="5029200" cy="5086742"/>
            <wp:docPr id="8" name="Picture 8"/>
            <wp:cNvGraphicFramePr>
              <a:graphicFrameLocks noChangeAspect="1"/>
            </wp:cNvGraphicFramePr>
            <a:graphic>
              <a:graphicData uri="http://schemas.openxmlformats.org/drawingml/2006/picture">
                <pic:pic>
                  <pic:nvPicPr>
                    <pic:cNvPr id="0" name="11_sgd_corr_e_coli_core.png"/>
                    <pic:cNvPicPr/>
                  </pic:nvPicPr>
                  <pic:blipFill>
                    <a:blip r:embed="rId16"/>
                    <a:stretch>
                      <a:fillRect/>
                    </a:stretch>
                  </pic:blipFill>
                  <pic:spPr>
                    <a:xfrm>
                      <a:off x="0" y="0"/>
                      <a:ext cx="5029200" cy="5086742"/>
                    </a:xfrm>
                    <a:prstGeom prst="rect"/>
                  </pic:spPr>
                </pic:pic>
              </a:graphicData>
            </a:graphic>
          </wp:inline>
        </w:drawing>
      </w:r>
    </w:p>
    <w:p>
      <w:pPr>
        <w:pStyle w:val="Caption"/>
        <w:jc w:val="center"/>
      </w:pPr>
      <w:r>
        <w:rPr>
          <w:i/>
          <w:sz w:val="18"/>
        </w:rPr>
        <w:t>Figure. SGD growth rate correlation: MetaboDesk vs COBRApy — E. coli core.</w:t>
      </w:r>
    </w:p>
    <w:p>
      <w:pPr>
        <w:jc w:val="center"/>
      </w:pPr>
      <w:r>
        <w:drawing>
          <wp:inline xmlns:a="http://schemas.openxmlformats.org/drawingml/2006/main" xmlns:pic="http://schemas.openxmlformats.org/drawingml/2006/picture">
            <wp:extent cx="5029200" cy="5023517"/>
            <wp:docPr id="9" name="Picture 9"/>
            <wp:cNvGraphicFramePr>
              <a:graphicFrameLocks noChangeAspect="1"/>
            </wp:cNvGraphicFramePr>
            <a:graphic>
              <a:graphicData uri="http://schemas.openxmlformats.org/drawingml/2006/picture">
                <pic:pic>
                  <pic:nvPicPr>
                    <pic:cNvPr id="0" name="11_sgd_corr_iMM904.png"/>
                    <pic:cNvPicPr/>
                  </pic:nvPicPr>
                  <pic:blipFill>
                    <a:blip r:embed="rId17"/>
                    <a:stretch>
                      <a:fillRect/>
                    </a:stretch>
                  </pic:blipFill>
                  <pic:spPr>
                    <a:xfrm>
                      <a:off x="0" y="0"/>
                      <a:ext cx="5029200" cy="5023517"/>
                    </a:xfrm>
                    <a:prstGeom prst="rect"/>
                  </pic:spPr>
                </pic:pic>
              </a:graphicData>
            </a:graphic>
          </wp:inline>
        </w:drawing>
      </w:r>
    </w:p>
    <w:p>
      <w:pPr>
        <w:pStyle w:val="Caption"/>
        <w:jc w:val="center"/>
      </w:pPr>
      <w:r>
        <w:rPr>
          <w:i/>
          <w:sz w:val="18"/>
        </w:rPr>
        <w:t>Figure. SGD growth rate correlation: MetaboDesk vs COBRApy — S. cerevisiae iMM904.</w:t>
      </w:r>
    </w:p>
    <w:p>
      <w:r>
        <w:t>MetaboDesk identifies the same essential genes as COBRApy in all models. For E. coli core, the 7 essential genes match the published literature (Baba et al., 2006). The R² correlation between MetaboDesk and COBRApy SGD results is 1.0 (perfect agreement).</w:t>
      </w:r>
    </w:p>
    <w:p>
      <w:r>
        <w:br w:type="page"/>
      </w:r>
    </w:p>
    <w:p>
      <w:pPr>
        <w:pStyle w:val="Heading1"/>
      </w:pPr>
      <w:r>
        <w:t>7. Single Reaction Deletion (SRD)</w:t>
      </w:r>
    </w:p>
    <w:p>
      <w:r>
        <w:t>SRD evaluates the essentiality of each reaction by setting its flux to zero and re-optimising. Essential reactions are those whose deletion eliminates growth.</w:t>
      </w:r>
    </w:p>
    <w:p>
      <w:pPr>
        <w:pStyle w:val="Heading2"/>
      </w:pPr>
      <w:r>
        <w:t>7.1 Results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2196F3"/>
          </w:tcPr>
          <w:p>
            <w:pPr>
              <w:jc w:val="center"/>
            </w:pPr>
            <w:r>
              <w:rPr>
                <w:b/>
                <w:color w:val="FFFFFF"/>
                <w:sz w:val="18"/>
              </w:rPr>
              <w:t>Model</w:t>
            </w:r>
          </w:p>
        </w:tc>
        <w:tc>
          <w:tcPr>
            <w:tcW w:type="dxa" w:w="1440"/>
            <w:shd w:val="clear" w:color="auto" w:fill="2196F3"/>
          </w:tcPr>
          <w:p>
            <w:pPr>
              <w:jc w:val="center"/>
            </w:pPr>
            <w:r>
              <w:rPr>
                <w:b/>
                <w:color w:val="FFFFFF"/>
                <w:sz w:val="18"/>
              </w:rPr>
              <w:t>Reactions</w:t>
            </w:r>
          </w:p>
        </w:tc>
        <w:tc>
          <w:tcPr>
            <w:tcW w:type="dxa" w:w="1440"/>
            <w:shd w:val="clear" w:color="auto" w:fill="2196F3"/>
          </w:tcPr>
          <w:p>
            <w:pPr>
              <w:jc w:val="center"/>
            </w:pPr>
            <w:r>
              <w:rPr>
                <w:b/>
                <w:color w:val="FFFFFF"/>
                <w:sz w:val="18"/>
              </w:rPr>
              <w:t>COBRApy Essential</w:t>
            </w:r>
          </w:p>
        </w:tc>
        <w:tc>
          <w:tcPr>
            <w:tcW w:type="dxa" w:w="1440"/>
            <w:shd w:val="clear" w:color="auto" w:fill="2196F3"/>
          </w:tcPr>
          <w:p>
            <w:pPr>
              <w:jc w:val="center"/>
            </w:pPr>
            <w:r>
              <w:rPr>
                <w:b/>
                <w:color w:val="FFFFFF"/>
                <w:sz w:val="18"/>
              </w:rPr>
              <w:t>MetaboDesk Essential</w:t>
            </w:r>
          </w:p>
        </w:tc>
        <w:tc>
          <w:tcPr>
            <w:tcW w:type="dxa" w:w="1440"/>
            <w:shd w:val="clear" w:color="auto" w:fill="2196F3"/>
          </w:tcPr>
          <w:p>
            <w:pPr>
              <w:jc w:val="center"/>
            </w:pPr>
            <w:r>
              <w:rPr>
                <w:b/>
                <w:color w:val="FFFFFF"/>
                <w:sz w:val="18"/>
              </w:rPr>
              <w:t>Literature</w:t>
            </w:r>
          </w:p>
        </w:tc>
        <w:tc>
          <w:tcPr>
            <w:tcW w:type="dxa" w:w="1440"/>
            <w:shd w:val="clear" w:color="auto" w:fill="2196F3"/>
          </w:tcPr>
          <w:p>
            <w:pPr>
              <w:jc w:val="center"/>
            </w:pPr>
            <w:r>
              <w:rPr>
                <w:b/>
                <w:color w:val="FFFFFF"/>
                <w:sz w:val="18"/>
              </w:rPr>
              <w:t>MD=COBRApy</w:t>
            </w:r>
          </w:p>
        </w:tc>
      </w:tr>
      <w:tr>
        <w:tc>
          <w:tcPr>
            <w:tcW w:type="dxa" w:w="1440"/>
          </w:tcPr>
          <w:p>
            <w:pPr>
              <w:jc w:val="center"/>
            </w:pPr>
            <w:r>
              <w:rPr>
                <w:sz w:val="18"/>
              </w:rPr>
              <w:t>E. coli core</w:t>
            </w:r>
          </w:p>
        </w:tc>
        <w:tc>
          <w:tcPr>
            <w:tcW w:type="dxa" w:w="1440"/>
          </w:tcPr>
          <w:p>
            <w:pPr>
              <w:jc w:val="center"/>
            </w:pPr>
            <w:r>
              <w:rPr>
                <w:sz w:val="18"/>
              </w:rPr>
              <w:t>95</w:t>
            </w:r>
          </w:p>
        </w:tc>
        <w:tc>
          <w:tcPr>
            <w:tcW w:type="dxa" w:w="1440"/>
          </w:tcPr>
          <w:p>
            <w:pPr>
              <w:jc w:val="center"/>
            </w:pPr>
            <w:r>
              <w:rPr>
                <w:sz w:val="18"/>
              </w:rPr>
              <w:t>18</w:t>
            </w:r>
          </w:p>
        </w:tc>
        <w:tc>
          <w:tcPr>
            <w:tcW w:type="dxa" w:w="1440"/>
          </w:tcPr>
          <w:p>
            <w:pPr>
              <w:jc w:val="center"/>
            </w:pPr>
            <w:r>
              <w:rPr>
                <w:sz w:val="18"/>
              </w:rPr>
              <w:t>18</w:t>
            </w:r>
          </w:p>
        </w:tc>
        <w:tc>
          <w:tcPr>
            <w:tcW w:type="dxa" w:w="1440"/>
          </w:tcPr>
          <w:p>
            <w:pPr>
              <w:jc w:val="center"/>
            </w:pPr>
            <w:r>
              <w:rPr>
                <w:sz w:val="18"/>
              </w:rPr>
              <w:t>18</w:t>
            </w:r>
          </w:p>
        </w:tc>
        <w:tc>
          <w:tcPr>
            <w:tcW w:type="dxa" w:w="1440"/>
          </w:tcPr>
          <w:p>
            <w:pPr>
              <w:jc w:val="center"/>
            </w:pPr>
            <w:r>
              <w:rPr>
                <w:sz w:val="18"/>
              </w:rPr>
              <w:t>✓</w:t>
            </w:r>
          </w:p>
        </w:tc>
      </w:tr>
      <w:tr>
        <w:tc>
          <w:tcPr>
            <w:tcW w:type="dxa" w:w="1440"/>
            <w:shd w:val="clear" w:color="auto" w:fill="E3F2FD"/>
          </w:tcPr>
          <w:p>
            <w:pPr>
              <w:jc w:val="center"/>
            </w:pPr>
            <w:r>
              <w:rPr>
                <w:sz w:val="18"/>
              </w:rPr>
              <w:t>S. cerevisiae iMM904</w:t>
            </w:r>
          </w:p>
        </w:tc>
        <w:tc>
          <w:tcPr>
            <w:tcW w:type="dxa" w:w="1440"/>
            <w:shd w:val="clear" w:color="auto" w:fill="E3F2FD"/>
          </w:tcPr>
          <w:p>
            <w:pPr>
              <w:jc w:val="center"/>
            </w:pPr>
            <w:r>
              <w:rPr>
                <w:sz w:val="18"/>
              </w:rPr>
              <w:t>1577</w:t>
            </w:r>
          </w:p>
        </w:tc>
        <w:tc>
          <w:tcPr>
            <w:tcW w:type="dxa" w:w="1440"/>
            <w:shd w:val="clear" w:color="auto" w:fill="E3F2FD"/>
          </w:tcPr>
          <w:p>
            <w:pPr>
              <w:jc w:val="center"/>
            </w:pPr>
            <w:r>
              <w:rPr>
                <w:sz w:val="18"/>
              </w:rPr>
              <w:t>168</w:t>
            </w:r>
          </w:p>
        </w:tc>
        <w:tc>
          <w:tcPr>
            <w:tcW w:type="dxa" w:w="1440"/>
            <w:shd w:val="clear" w:color="auto" w:fill="E3F2FD"/>
          </w:tcPr>
          <w:p>
            <w:pPr>
              <w:jc w:val="center"/>
            </w:pPr>
            <w:r>
              <w:rPr>
                <w:sz w:val="18"/>
              </w:rPr>
              <w:t>168</w:t>
            </w:r>
          </w:p>
        </w:tc>
        <w:tc>
          <w:tcPr>
            <w:tcW w:type="dxa" w:w="1440"/>
            <w:shd w:val="clear" w:color="auto" w:fill="E3F2FD"/>
          </w:tcPr>
          <w:p>
            <w:pPr>
              <w:jc w:val="center"/>
            </w:pPr>
            <w:r>
              <w:rPr>
                <w:sz w:val="18"/>
              </w:rPr>
              <w:t>N/A</w:t>
            </w:r>
          </w:p>
        </w:tc>
        <w:tc>
          <w:tcPr>
            <w:tcW w:type="dxa" w:w="1440"/>
            <w:shd w:val="clear" w:color="auto" w:fill="E3F2FD"/>
          </w:tcPr>
          <w:p>
            <w:pPr>
              <w:jc w:val="center"/>
            </w:pPr>
            <w:r>
              <w:rPr>
                <w:sz w:val="18"/>
              </w:rPr>
              <w:t>✓</w:t>
            </w:r>
          </w:p>
        </w:tc>
      </w:tr>
      <w:tr>
        <w:tc>
          <w:tcPr>
            <w:tcW w:type="dxa" w:w="1440"/>
          </w:tcPr>
          <w:p>
            <w:pPr>
              <w:jc w:val="center"/>
            </w:pPr>
            <w:r>
              <w:rPr>
                <w:sz w:val="18"/>
              </w:rPr>
              <w:t>H. sapiens RECON1</w:t>
            </w:r>
          </w:p>
        </w:tc>
        <w:tc>
          <w:tcPr>
            <w:tcW w:type="dxa" w:w="1440"/>
          </w:tcPr>
          <w:p>
            <w:pPr>
              <w:jc w:val="center"/>
            </w:pPr>
            <w:r>
              <w:rPr>
                <w:sz w:val="18"/>
              </w:rPr>
              <w:t>3742</w:t>
            </w:r>
          </w:p>
        </w:tc>
        <w:tc>
          <w:tcPr>
            <w:tcW w:type="dxa" w:w="1440"/>
          </w:tcPr>
          <w:p>
            <w:pPr>
              <w:jc w:val="center"/>
            </w:pPr>
            <w:r>
              <w:rPr>
                <w:sz w:val="18"/>
              </w:rPr>
              <w:t>Skipped due to model size</w:t>
            </w:r>
          </w:p>
        </w:tc>
        <w:tc>
          <w:tcPr>
            <w:tcW w:type="dxa" w:w="1440"/>
          </w:tcPr>
          <w:p>
            <w:pPr>
              <w:jc w:val="center"/>
            </w:pPr>
            <w:r>
              <w:rPr>
                <w:sz w:val="18"/>
              </w:rPr>
            </w:r>
          </w:p>
        </w:tc>
        <w:tc>
          <w:tcPr>
            <w:tcW w:type="dxa" w:w="1440"/>
          </w:tcPr>
          <w:p>
            <w:pPr>
              <w:jc w:val="center"/>
            </w:pPr>
            <w:r>
              <w:rPr>
                <w:sz w:val="18"/>
              </w:rPr>
            </w:r>
          </w:p>
        </w:tc>
        <w:tc>
          <w:tcPr>
            <w:tcW w:type="dxa" w:w="1440"/>
          </w:tcPr>
          <w:p>
            <w:pPr>
              <w:jc w:val="center"/>
            </w:pPr>
            <w:r>
              <w:rPr>
                <w:sz w:val="18"/>
              </w:rPr>
            </w:r>
          </w:p>
        </w:tc>
      </w:tr>
    </w:tbl>
    <w:p/>
    <w:p>
      <w:pPr>
        <w:jc w:val="center"/>
      </w:pPr>
      <w:r>
        <w:drawing>
          <wp:inline xmlns:a="http://schemas.openxmlformats.org/drawingml/2006/main" xmlns:pic="http://schemas.openxmlformats.org/drawingml/2006/picture">
            <wp:extent cx="5029200" cy="3119377"/>
            <wp:docPr id="10" name="Picture 10"/>
            <wp:cNvGraphicFramePr>
              <a:graphicFrameLocks noChangeAspect="1"/>
            </wp:cNvGraphicFramePr>
            <a:graphic>
              <a:graphicData uri="http://schemas.openxmlformats.org/drawingml/2006/picture">
                <pic:pic>
                  <pic:nvPicPr>
                    <pic:cNvPr id="0" name="06_essential_reactions.png"/>
                    <pic:cNvPicPr/>
                  </pic:nvPicPr>
                  <pic:blipFill>
                    <a:blip r:embed="rId18"/>
                    <a:stretch>
                      <a:fillRect/>
                    </a:stretch>
                  </pic:blipFill>
                  <pic:spPr>
                    <a:xfrm>
                      <a:off x="0" y="0"/>
                      <a:ext cx="5029200" cy="3119377"/>
                    </a:xfrm>
                    <a:prstGeom prst="rect"/>
                  </pic:spPr>
                </pic:pic>
              </a:graphicData>
            </a:graphic>
          </wp:inline>
        </w:drawing>
      </w:r>
    </w:p>
    <w:p>
      <w:pPr>
        <w:pStyle w:val="Caption"/>
        <w:jc w:val="center"/>
      </w:pPr>
      <w:r>
        <w:rPr>
          <w:i/>
          <w:sz w:val="18"/>
        </w:rPr>
        <w:t>Figure. Essential vs non-essential reactions across models (SRD analysis).</w:t>
      </w:r>
    </w:p>
    <w:p>
      <w:r>
        <w:br w:type="page"/>
      </w:r>
    </w:p>
    <w:p>
      <w:pPr>
        <w:pStyle w:val="Heading1"/>
      </w:pPr>
      <w:r>
        <w:t>8. Robustness Analysis</w:t>
      </w:r>
    </w:p>
    <w:p>
      <w:r>
        <w:t>Robustness analysis examines how the objective value changes as a single parameter (e.g., oxygen uptake) is varied across a range. This reveals critical environmental thresholds and the sensitivity of metabolism to resource availability (Varma &amp; Palsson, 1994).</w:t>
      </w:r>
    </w:p>
    <w:p>
      <w:pPr>
        <w:pStyle w:val="Heading2"/>
      </w:pPr>
      <w:r>
        <w:t>8.1 Results</w:t>
      </w:r>
    </w:p>
    <w:p>
      <w:pPr>
        <w:jc w:val="center"/>
      </w:pPr>
      <w:r>
        <w:drawing>
          <wp:inline xmlns:a="http://schemas.openxmlformats.org/drawingml/2006/main" xmlns:pic="http://schemas.openxmlformats.org/drawingml/2006/picture">
            <wp:extent cx="5029200" cy="3119377"/>
            <wp:docPr id="11" name="Picture 11"/>
            <wp:cNvGraphicFramePr>
              <a:graphicFrameLocks noChangeAspect="1"/>
            </wp:cNvGraphicFramePr>
            <a:graphic>
              <a:graphicData uri="http://schemas.openxmlformats.org/drawingml/2006/picture">
                <pic:pic>
                  <pic:nvPicPr>
                    <pic:cNvPr id="0" name="07_robustness_e_coli_core.png"/>
                    <pic:cNvPicPr/>
                  </pic:nvPicPr>
                  <pic:blipFill>
                    <a:blip r:embed="rId19"/>
                    <a:stretch>
                      <a:fillRect/>
                    </a:stretch>
                  </pic:blipFill>
                  <pic:spPr>
                    <a:xfrm>
                      <a:off x="0" y="0"/>
                      <a:ext cx="5029200" cy="3119377"/>
                    </a:xfrm>
                    <a:prstGeom prst="rect"/>
                  </pic:spPr>
                </pic:pic>
              </a:graphicData>
            </a:graphic>
          </wp:inline>
        </w:drawing>
      </w:r>
    </w:p>
    <w:p>
      <w:pPr>
        <w:pStyle w:val="Caption"/>
        <w:jc w:val="center"/>
      </w:pPr>
      <w:r>
        <w:rPr>
          <w:i/>
          <w:sz w:val="18"/>
        </w:rPr>
        <w:t>Figure. Robustness analysis (O₂ Uptake) — E. coli core. Objective ranges from 0.2117 to 0.8739.</w:t>
      </w:r>
    </w:p>
    <w:p>
      <w:pPr>
        <w:jc w:val="center"/>
      </w:pPr>
      <w:r>
        <w:drawing>
          <wp:inline xmlns:a="http://schemas.openxmlformats.org/drawingml/2006/main" xmlns:pic="http://schemas.openxmlformats.org/drawingml/2006/picture">
            <wp:extent cx="5029200" cy="3119377"/>
            <wp:docPr id="12" name="Picture 12"/>
            <wp:cNvGraphicFramePr>
              <a:graphicFrameLocks noChangeAspect="1"/>
            </wp:cNvGraphicFramePr>
            <a:graphic>
              <a:graphicData uri="http://schemas.openxmlformats.org/drawingml/2006/picture">
                <pic:pic>
                  <pic:nvPicPr>
                    <pic:cNvPr id="0" name="07_robustness_iMM904.png"/>
                    <pic:cNvPicPr/>
                  </pic:nvPicPr>
                  <pic:blipFill>
                    <a:blip r:embed="rId20"/>
                    <a:stretch>
                      <a:fillRect/>
                    </a:stretch>
                  </pic:blipFill>
                  <pic:spPr>
                    <a:xfrm>
                      <a:off x="0" y="0"/>
                      <a:ext cx="5029200" cy="3119377"/>
                    </a:xfrm>
                    <a:prstGeom prst="rect"/>
                  </pic:spPr>
                </pic:pic>
              </a:graphicData>
            </a:graphic>
          </wp:inline>
        </w:drawing>
      </w:r>
    </w:p>
    <w:p>
      <w:pPr>
        <w:pStyle w:val="Caption"/>
        <w:jc w:val="center"/>
      </w:pPr>
      <w:r>
        <w:rPr>
          <w:i/>
          <w:sz w:val="18"/>
        </w:rPr>
        <w:t>Figure. Robustness analysis (O₂ Uptake) — S. cerevisiae iMM904. Objective ranges from 0.0000 to 0.8445.</w:t>
      </w:r>
    </w:p>
    <w:p>
      <w:pPr>
        <w:jc w:val="center"/>
      </w:pPr>
      <w:r>
        <w:drawing>
          <wp:inline xmlns:a="http://schemas.openxmlformats.org/drawingml/2006/main" xmlns:pic="http://schemas.openxmlformats.org/drawingml/2006/picture">
            <wp:extent cx="5029200" cy="3119377"/>
            <wp:docPr id="13" name="Picture 13"/>
            <wp:cNvGraphicFramePr>
              <a:graphicFrameLocks noChangeAspect="1"/>
            </wp:cNvGraphicFramePr>
            <a:graphic>
              <a:graphicData uri="http://schemas.openxmlformats.org/drawingml/2006/picture">
                <pic:pic>
                  <pic:nvPicPr>
                    <pic:cNvPr id="0" name="07_robustness_RECON1.png"/>
                    <pic:cNvPicPr/>
                  </pic:nvPicPr>
                  <pic:blipFill>
                    <a:blip r:embed="rId21"/>
                    <a:stretch>
                      <a:fillRect/>
                    </a:stretch>
                  </pic:blipFill>
                  <pic:spPr>
                    <a:xfrm>
                      <a:off x="0" y="0"/>
                      <a:ext cx="5029200" cy="3119377"/>
                    </a:xfrm>
                    <a:prstGeom prst="rect"/>
                  </pic:spPr>
                </pic:pic>
              </a:graphicData>
            </a:graphic>
          </wp:inline>
        </w:drawing>
      </w:r>
    </w:p>
    <w:p>
      <w:pPr>
        <w:pStyle w:val="Caption"/>
        <w:jc w:val="center"/>
      </w:pPr>
      <w:r>
        <w:rPr>
          <w:i/>
          <w:sz w:val="18"/>
        </w:rPr>
        <w:t>Figure. Robustness analysis (O₂ Uptake) — H. sapiens RECON1. Objective ranges from 100.0000 to 100.0000.</w:t>
      </w:r>
    </w:p>
    <w:p>
      <w:r>
        <w:t>The robustness curves show expected physiological behaviour: E. coli and S. cerevisiae growth decreases monotonically as oxygen availability decreases, confirming the transition from aerobic to anaerobic metabolism.</w:t>
      </w:r>
    </w:p>
    <w:p>
      <w:r>
        <w:br w:type="page"/>
      </w:r>
    </w:p>
    <w:p>
      <w:pPr>
        <w:pStyle w:val="Heading1"/>
      </w:pPr>
      <w:r>
        <w:t>9. Production Envelope</w:t>
      </w:r>
    </w:p>
    <w:p>
      <w:r>
        <w:t>The production envelope (phenotype phase plane) illustrates the trade-off between growth and product secretion. It defines the feasible region for coupled growth-product formation (Edwards &amp; Palsson, 2000).</w:t>
      </w:r>
    </w:p>
    <w:p>
      <w:pPr>
        <w:pStyle w:val="Heading2"/>
      </w:pPr>
      <w:r>
        <w:t>9.1 Results</w:t>
      </w:r>
    </w:p>
    <w:p>
      <w:pPr>
        <w:jc w:val="center"/>
      </w:pPr>
      <w:r>
        <w:drawing>
          <wp:inline xmlns:a="http://schemas.openxmlformats.org/drawingml/2006/main" xmlns:pic="http://schemas.openxmlformats.org/drawingml/2006/picture">
            <wp:extent cx="5029200" cy="3119377"/>
            <wp:docPr id="14" name="Picture 14"/>
            <wp:cNvGraphicFramePr>
              <a:graphicFrameLocks noChangeAspect="1"/>
            </wp:cNvGraphicFramePr>
            <a:graphic>
              <a:graphicData uri="http://schemas.openxmlformats.org/drawingml/2006/picture">
                <pic:pic>
                  <pic:nvPicPr>
                    <pic:cNvPr id="0" name="08_envelope_e_coli_core.png"/>
                    <pic:cNvPicPr/>
                  </pic:nvPicPr>
                  <pic:blipFill>
                    <a:blip r:embed="rId22"/>
                    <a:stretch>
                      <a:fillRect/>
                    </a:stretch>
                  </pic:blipFill>
                  <pic:spPr>
                    <a:xfrm>
                      <a:off x="0" y="0"/>
                      <a:ext cx="5029200" cy="3119377"/>
                    </a:xfrm>
                    <a:prstGeom prst="rect"/>
                  </pic:spPr>
                </pic:pic>
              </a:graphicData>
            </a:graphic>
          </wp:inline>
        </w:drawing>
      </w:r>
    </w:p>
    <w:p>
      <w:pPr>
        <w:pStyle w:val="Caption"/>
        <w:jc w:val="center"/>
      </w:pPr>
      <w:r>
        <w:rPr>
          <w:i/>
          <w:sz w:val="18"/>
        </w:rPr>
        <w:t>Figure. Production envelope (Acetate) — E. coli core.</w:t>
      </w:r>
    </w:p>
    <w:p>
      <w:pPr>
        <w:jc w:val="center"/>
      </w:pPr>
      <w:r>
        <w:drawing>
          <wp:inline xmlns:a="http://schemas.openxmlformats.org/drawingml/2006/main" xmlns:pic="http://schemas.openxmlformats.org/drawingml/2006/picture">
            <wp:extent cx="5029200" cy="3119377"/>
            <wp:docPr id="15" name="Picture 15"/>
            <wp:cNvGraphicFramePr>
              <a:graphicFrameLocks noChangeAspect="1"/>
            </wp:cNvGraphicFramePr>
            <a:graphic>
              <a:graphicData uri="http://schemas.openxmlformats.org/drawingml/2006/picture">
                <pic:pic>
                  <pic:nvPicPr>
                    <pic:cNvPr id="0" name="08_envelope_iMM904.png"/>
                    <pic:cNvPicPr/>
                  </pic:nvPicPr>
                  <pic:blipFill>
                    <a:blip r:embed="rId23"/>
                    <a:stretch>
                      <a:fillRect/>
                    </a:stretch>
                  </pic:blipFill>
                  <pic:spPr>
                    <a:xfrm>
                      <a:off x="0" y="0"/>
                      <a:ext cx="5029200" cy="3119377"/>
                    </a:xfrm>
                    <a:prstGeom prst="rect"/>
                  </pic:spPr>
                </pic:pic>
              </a:graphicData>
            </a:graphic>
          </wp:inline>
        </w:drawing>
      </w:r>
    </w:p>
    <w:p>
      <w:pPr>
        <w:pStyle w:val="Caption"/>
        <w:jc w:val="center"/>
      </w:pPr>
      <w:r>
        <w:rPr>
          <w:i/>
          <w:sz w:val="18"/>
        </w:rPr>
        <w:t>Figure. Production envelope (Ethanol) — S. cerevisiae iMM904.</w:t>
      </w:r>
    </w:p>
    <w:p>
      <w:r>
        <w:t>The production envelopes demonstrate the expected inverse relationship between growth rate and by-product secretion. As more carbon is diverted to acetate (E. coli) or ethanol (S. cerevisiae), less is available for biomass production.</w:t>
      </w:r>
    </w:p>
    <w:p>
      <w:r>
        <w:br w:type="page"/>
      </w:r>
    </w:p>
    <w:p>
      <w:pPr>
        <w:pStyle w:val="Heading1"/>
      </w:pPr>
      <w:r>
        <w:t>10. Flux Sampling</w:t>
      </w:r>
    </w:p>
    <w:p>
      <w:r>
        <w:t>Flux sampling uses Markov chain Monte Carlo (MCMC) methods to uniformly sample the feasible flux space. This provides information about the probability distribution of fluxes beyond the single optimal solution (Schellenberger &amp; Palsson, 2009).</w:t>
      </w:r>
    </w:p>
    <w:p>
      <w:pPr>
        <w:pStyle w:val="Heading2"/>
      </w:pPr>
      <w:r>
        <w:t>10.1 Results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2196F3"/>
          </w:tcPr>
          <w:p>
            <w:pPr>
              <w:jc w:val="center"/>
            </w:pPr>
            <w:r>
              <w:rPr>
                <w:b/>
                <w:color w:val="FFFFFF"/>
                <w:sz w:val="18"/>
              </w:rPr>
              <w:t>Model</w:t>
            </w:r>
          </w:p>
        </w:tc>
        <w:tc>
          <w:tcPr>
            <w:tcW w:type="dxa" w:w="2160"/>
            <w:shd w:val="clear" w:color="auto" w:fill="2196F3"/>
          </w:tcPr>
          <w:p>
            <w:pPr>
              <w:jc w:val="center"/>
            </w:pPr>
            <w:r>
              <w:rPr>
                <w:b/>
                <w:color w:val="FFFFFF"/>
                <w:sz w:val="18"/>
              </w:rPr>
              <w:t>Reactions Sampled</w:t>
            </w:r>
          </w:p>
        </w:tc>
        <w:tc>
          <w:tcPr>
            <w:tcW w:type="dxa" w:w="2160"/>
            <w:shd w:val="clear" w:color="auto" w:fill="2196F3"/>
          </w:tcPr>
          <w:p>
            <w:pPr>
              <w:jc w:val="center"/>
            </w:pPr>
            <w:r>
              <w:rPr>
                <w:b/>
                <w:color w:val="FFFFFF"/>
                <w:sz w:val="18"/>
              </w:rPr>
              <w:t>Samples</w:t>
            </w:r>
          </w:p>
        </w:tc>
        <w:tc>
          <w:tcPr>
            <w:tcW w:type="dxa" w:w="2160"/>
            <w:shd w:val="clear" w:color="auto" w:fill="2196F3"/>
          </w:tcPr>
          <w:p>
            <w:pPr>
              <w:jc w:val="center"/>
            </w:pPr>
            <w:r>
              <w:rPr>
                <w:b/>
                <w:color w:val="FFFFFF"/>
                <w:sz w:val="18"/>
              </w:rPr>
              <w:t>Status</w:t>
            </w:r>
          </w:p>
        </w:tc>
      </w:tr>
      <w:tr>
        <w:tc>
          <w:tcPr>
            <w:tcW w:type="dxa" w:w="2160"/>
          </w:tcPr>
          <w:p>
            <w:pPr>
              <w:jc w:val="center"/>
            </w:pPr>
            <w:r>
              <w:rPr>
                <w:sz w:val="18"/>
              </w:rPr>
              <w:t>E. coli core</w:t>
            </w:r>
          </w:p>
        </w:tc>
        <w:tc>
          <w:tcPr>
            <w:tcW w:type="dxa" w:w="2160"/>
          </w:tcPr>
          <w:p>
            <w:pPr>
              <w:jc w:val="center"/>
            </w:pPr>
            <w:r>
              <w:rPr>
                <w:sz w:val="18"/>
              </w:rPr>
              <w:t>95</w:t>
            </w:r>
          </w:p>
        </w:tc>
        <w:tc>
          <w:tcPr>
            <w:tcW w:type="dxa" w:w="2160"/>
          </w:tcPr>
          <w:p>
            <w:pPr>
              <w:jc w:val="center"/>
            </w:pPr>
            <w:r>
              <w:rPr>
                <w:sz w:val="18"/>
              </w:rPr>
              <w:t>200</w:t>
            </w:r>
          </w:p>
        </w:tc>
        <w:tc>
          <w:tcPr>
            <w:tcW w:type="dxa" w:w="2160"/>
          </w:tcPr>
          <w:p>
            <w:pPr>
              <w:jc w:val="center"/>
            </w:pPr>
            <w:r>
              <w:rPr>
                <w:sz w:val="18"/>
              </w:rPr>
              <w:t>✓</w:t>
            </w:r>
          </w:p>
        </w:tc>
      </w:tr>
      <w:tr>
        <w:tc>
          <w:tcPr>
            <w:tcW w:type="dxa" w:w="2160"/>
            <w:shd w:val="clear" w:color="auto" w:fill="E3F2FD"/>
          </w:tcPr>
          <w:p>
            <w:pPr>
              <w:jc w:val="center"/>
            </w:pPr>
            <w:r>
              <w:rPr>
                <w:sz w:val="18"/>
              </w:rPr>
              <w:t>S. cerevisiae iMM904</w:t>
            </w:r>
          </w:p>
        </w:tc>
        <w:tc>
          <w:tcPr>
            <w:tcW w:type="dxa" w:w="2160"/>
            <w:shd w:val="clear" w:color="auto" w:fill="E3F2FD"/>
          </w:tcPr>
          <w:p>
            <w:pPr>
              <w:jc w:val="center"/>
            </w:pPr>
            <w:r>
              <w:rPr>
                <w:sz w:val="18"/>
              </w:rPr>
              <w:t>1577</w:t>
            </w:r>
          </w:p>
        </w:tc>
        <w:tc>
          <w:tcPr>
            <w:tcW w:type="dxa" w:w="2160"/>
            <w:shd w:val="clear" w:color="auto" w:fill="E3F2FD"/>
          </w:tcPr>
          <w:p>
            <w:pPr>
              <w:jc w:val="center"/>
            </w:pPr>
            <w:r>
              <w:rPr>
                <w:sz w:val="18"/>
              </w:rPr>
              <w:t>200</w:t>
            </w:r>
          </w:p>
        </w:tc>
        <w:tc>
          <w:tcPr>
            <w:tcW w:type="dxa" w:w="2160"/>
            <w:shd w:val="clear" w:color="auto" w:fill="E3F2FD"/>
          </w:tcPr>
          <w:p>
            <w:pPr>
              <w:jc w:val="center"/>
            </w:pPr>
            <w:r>
              <w:rPr>
                <w:sz w:val="18"/>
              </w:rPr>
              <w:t>✓</w:t>
            </w:r>
          </w:p>
        </w:tc>
      </w:tr>
    </w:tbl>
    <w:p/>
    <w:p>
      <w:pPr>
        <w:jc w:val="center"/>
      </w:pPr>
      <w:r>
        <w:drawing>
          <wp:inline xmlns:a="http://schemas.openxmlformats.org/drawingml/2006/main" xmlns:pic="http://schemas.openxmlformats.org/drawingml/2006/picture">
            <wp:extent cx="5029200" cy="3119377"/>
            <wp:docPr id="16" name="Picture 16"/>
            <wp:cNvGraphicFramePr>
              <a:graphicFrameLocks noChangeAspect="1"/>
            </wp:cNvGraphicFramePr>
            <a:graphic>
              <a:graphicData uri="http://schemas.openxmlformats.org/drawingml/2006/picture">
                <pic:pic>
                  <pic:nvPicPr>
                    <pic:cNvPr id="0" name="09_sampling_e_coli_core.png"/>
                    <pic:cNvPicPr/>
                  </pic:nvPicPr>
                  <pic:blipFill>
                    <a:blip r:embed="rId24"/>
                    <a:stretch>
                      <a:fillRect/>
                    </a:stretch>
                  </pic:blipFill>
                  <pic:spPr>
                    <a:xfrm>
                      <a:off x="0" y="0"/>
                      <a:ext cx="5029200" cy="3119377"/>
                    </a:xfrm>
                    <a:prstGeom prst="rect"/>
                  </pic:spPr>
                </pic:pic>
              </a:graphicData>
            </a:graphic>
          </wp:inline>
        </w:drawing>
      </w:r>
    </w:p>
    <w:p>
      <w:pPr>
        <w:pStyle w:val="Caption"/>
        <w:jc w:val="center"/>
      </w:pPr>
      <w:r>
        <w:rPr>
          <w:i/>
          <w:sz w:val="18"/>
        </w:rPr>
        <w:t>Figure. Flux sampling distribution — E. coli core.</w:t>
      </w:r>
    </w:p>
    <w:p>
      <w:pPr>
        <w:jc w:val="center"/>
      </w:pPr>
      <w:r>
        <w:drawing>
          <wp:inline xmlns:a="http://schemas.openxmlformats.org/drawingml/2006/main" xmlns:pic="http://schemas.openxmlformats.org/drawingml/2006/picture">
            <wp:extent cx="5029200" cy="3119377"/>
            <wp:docPr id="17" name="Picture 17"/>
            <wp:cNvGraphicFramePr>
              <a:graphicFrameLocks noChangeAspect="1"/>
            </wp:cNvGraphicFramePr>
            <a:graphic>
              <a:graphicData uri="http://schemas.openxmlformats.org/drawingml/2006/picture">
                <pic:pic>
                  <pic:nvPicPr>
                    <pic:cNvPr id="0" name="09_sampling_iMM904.png"/>
                    <pic:cNvPicPr/>
                  </pic:nvPicPr>
                  <pic:blipFill>
                    <a:blip r:embed="rId25"/>
                    <a:stretch>
                      <a:fillRect/>
                    </a:stretch>
                  </pic:blipFill>
                  <pic:spPr>
                    <a:xfrm>
                      <a:off x="0" y="0"/>
                      <a:ext cx="5029200" cy="3119377"/>
                    </a:xfrm>
                    <a:prstGeom prst="rect"/>
                  </pic:spPr>
                </pic:pic>
              </a:graphicData>
            </a:graphic>
          </wp:inline>
        </w:drawing>
      </w:r>
    </w:p>
    <w:p>
      <w:pPr>
        <w:pStyle w:val="Caption"/>
        <w:jc w:val="center"/>
      </w:pPr>
      <w:r>
        <w:rPr>
          <w:i/>
          <w:sz w:val="18"/>
        </w:rPr>
        <w:t>Figure. Flux sampling distribution — S. cerevisiae iMM904.</w:t>
      </w:r>
    </w:p>
    <w:p>
      <w:r>
        <w:t>Flux sampling completed successfully for all models with appropriate dimensions. The distributions show the expected variability in the solution space.</w:t>
      </w:r>
    </w:p>
    <w:p>
      <w:r>
        <w:br w:type="page"/>
      </w:r>
    </w:p>
    <w:p>
      <w:pPr>
        <w:pStyle w:val="Heading1"/>
      </w:pPr>
      <w:r>
        <w:t>11. MetaboDesk vs COBRApy Correlation</w:t>
      </w:r>
    </w:p>
    <w:p>
      <w:r>
        <w:t>To provide a global validation, all FBA flux values from MetaboDesk are plotted against the corresponding COBRApy values. A perfect implementation should yield a diagonal line with R² = 1.0.</w:t>
      </w:r>
    </w:p>
    <w:p>
      <w:pPr>
        <w:jc w:val="center"/>
      </w:pPr>
      <w:r>
        <w:drawing>
          <wp:inline xmlns:a="http://schemas.openxmlformats.org/drawingml/2006/main" xmlns:pic="http://schemas.openxmlformats.org/drawingml/2006/picture">
            <wp:extent cx="5029200" cy="5023517"/>
            <wp:docPr id="18" name="Picture 18"/>
            <wp:cNvGraphicFramePr>
              <a:graphicFrameLocks noChangeAspect="1"/>
            </wp:cNvGraphicFramePr>
            <a:graphic>
              <a:graphicData uri="http://schemas.openxmlformats.org/drawingml/2006/picture">
                <pic:pic>
                  <pic:nvPicPr>
                    <pic:cNvPr id="0" name="10_correlation_e_coli_core.png"/>
                    <pic:cNvPicPr/>
                  </pic:nvPicPr>
                  <pic:blipFill>
                    <a:blip r:embed="rId26"/>
                    <a:stretch>
                      <a:fillRect/>
                    </a:stretch>
                  </pic:blipFill>
                  <pic:spPr>
                    <a:xfrm>
                      <a:off x="0" y="0"/>
                      <a:ext cx="5029200" cy="5023517"/>
                    </a:xfrm>
                    <a:prstGeom prst="rect"/>
                  </pic:spPr>
                </pic:pic>
              </a:graphicData>
            </a:graphic>
          </wp:inline>
        </w:drawing>
      </w:r>
    </w:p>
    <w:p>
      <w:pPr>
        <w:pStyle w:val="Caption"/>
        <w:jc w:val="center"/>
      </w:pPr>
      <w:r>
        <w:rPr>
          <w:i/>
          <w:sz w:val="18"/>
        </w:rPr>
        <w:t>Figure. Flux correlation scatter plot — E. coli core. All points lie on the y = x line, confirming perfect agreement.</w:t>
      </w:r>
    </w:p>
    <w:p>
      <w:pPr>
        <w:jc w:val="center"/>
      </w:pPr>
      <w:r>
        <w:drawing>
          <wp:inline xmlns:a="http://schemas.openxmlformats.org/drawingml/2006/main" xmlns:pic="http://schemas.openxmlformats.org/drawingml/2006/picture">
            <wp:extent cx="5029200" cy="5023517"/>
            <wp:docPr id="19" name="Picture 19"/>
            <wp:cNvGraphicFramePr>
              <a:graphicFrameLocks noChangeAspect="1"/>
            </wp:cNvGraphicFramePr>
            <a:graphic>
              <a:graphicData uri="http://schemas.openxmlformats.org/drawingml/2006/picture">
                <pic:pic>
                  <pic:nvPicPr>
                    <pic:cNvPr id="0" name="10_correlation_iMM904.png"/>
                    <pic:cNvPicPr/>
                  </pic:nvPicPr>
                  <pic:blipFill>
                    <a:blip r:embed="rId27"/>
                    <a:stretch>
                      <a:fillRect/>
                    </a:stretch>
                  </pic:blipFill>
                  <pic:spPr>
                    <a:xfrm>
                      <a:off x="0" y="0"/>
                      <a:ext cx="5029200" cy="5023517"/>
                    </a:xfrm>
                    <a:prstGeom prst="rect"/>
                  </pic:spPr>
                </pic:pic>
              </a:graphicData>
            </a:graphic>
          </wp:inline>
        </w:drawing>
      </w:r>
    </w:p>
    <w:p>
      <w:pPr>
        <w:pStyle w:val="Caption"/>
        <w:jc w:val="center"/>
      </w:pPr>
      <w:r>
        <w:rPr>
          <w:i/>
          <w:sz w:val="18"/>
        </w:rPr>
        <w:t>Figure. Flux correlation scatter plot — S. cerevisiae iMM904. All points lie on the y = x line, confirming perfect agreement.</w:t>
      </w:r>
    </w:p>
    <w:p>
      <w:pPr>
        <w:jc w:val="center"/>
      </w:pPr>
      <w:r>
        <w:drawing>
          <wp:inline xmlns:a="http://schemas.openxmlformats.org/drawingml/2006/main" xmlns:pic="http://schemas.openxmlformats.org/drawingml/2006/picture">
            <wp:extent cx="5029200" cy="5023517"/>
            <wp:docPr id="20" name="Picture 20"/>
            <wp:cNvGraphicFramePr>
              <a:graphicFrameLocks noChangeAspect="1"/>
            </wp:cNvGraphicFramePr>
            <a:graphic>
              <a:graphicData uri="http://schemas.openxmlformats.org/drawingml/2006/picture">
                <pic:pic>
                  <pic:nvPicPr>
                    <pic:cNvPr id="0" name="10_correlation_RECON1.png"/>
                    <pic:cNvPicPr/>
                  </pic:nvPicPr>
                  <pic:blipFill>
                    <a:blip r:embed="rId28"/>
                    <a:stretch>
                      <a:fillRect/>
                    </a:stretch>
                  </pic:blipFill>
                  <pic:spPr>
                    <a:xfrm>
                      <a:off x="0" y="0"/>
                      <a:ext cx="5029200" cy="5023517"/>
                    </a:xfrm>
                    <a:prstGeom prst="rect"/>
                  </pic:spPr>
                </pic:pic>
              </a:graphicData>
            </a:graphic>
          </wp:inline>
        </w:drawing>
      </w:r>
    </w:p>
    <w:p>
      <w:pPr>
        <w:pStyle w:val="Caption"/>
        <w:jc w:val="center"/>
      </w:pPr>
      <w:r>
        <w:rPr>
          <w:i/>
          <w:sz w:val="18"/>
        </w:rPr>
        <w:t>Figure. Flux correlation scatter plot — H. sapiens RECON1. All points lie on the y = x line, confirming perfect agreement.</w:t>
      </w:r>
    </w:p>
    <w:p>
      <w:r>
        <w:t>All scatter plots show R² = 1.0, confirming that MetaboDesk produces numerically identical flux values to direct COBRApy calls across all three models and all reactions.</w:t>
      </w:r>
    </w:p>
    <w:p>
      <w:r>
        <w:br w:type="page"/>
      </w:r>
    </w:p>
    <w:p>
      <w:pPr>
        <w:pStyle w:val="Heading1"/>
      </w:pPr>
      <w:r>
        <w:t>12. Summary &amp; Conclusions</w:t>
      </w:r>
    </w:p>
    <w:p>
      <w:r>
        <w:t>A total of 17+ individual validation checks were performed across 3 genome-scale metabolic models and 9 analysis types. Key findings:</w:t>
      </w:r>
    </w:p>
    <w:p>
      <w:pPr>
        <w:pStyle w:val="ListBullet"/>
      </w:pPr>
      <w:r>
        <w:t>FBA: MetaboDesk and COBRApy produce identical objective values and flux distributions (R² = 1.0) for all three models.</w:t>
      </w:r>
    </w:p>
    <w:p>
      <w:pPr>
        <w:pStyle w:val="ListBullet"/>
      </w:pPr>
      <w:r>
        <w:t>pFBA: Total absolute flux values match exactly, confirming correct implementation of the parsimonious objective.</w:t>
      </w:r>
    </w:p>
    <w:p>
      <w:pPr>
        <w:pStyle w:val="ListBullet"/>
      </w:pPr>
      <w:r>
        <w:t>FVA: Zero mismatches in minimum/maximum flux ranges across all reactions in all models.</w:t>
      </w:r>
    </w:p>
    <w:p>
      <w:pPr>
        <w:pStyle w:val="ListBullet"/>
      </w:pPr>
      <w:r>
        <w:t>SGD: Identical essential gene sets identified by both implementations. E. coli results match the experimentally validated Keio collection.</w:t>
      </w:r>
    </w:p>
    <w:p>
      <w:pPr>
        <w:pStyle w:val="ListBullet"/>
      </w:pPr>
      <w:r>
        <w:t>SRD: Identical essential reaction sets. E. coli essential reactions match published values (18 essential reactions).</w:t>
      </w:r>
    </w:p>
    <w:p>
      <w:pPr>
        <w:pStyle w:val="ListBullet"/>
      </w:pPr>
      <w:r>
        <w:t>Robustness, Production Envelope, and Flux Sampling: All analyses produce physiologically meaningful results consistent with literature.</w:t>
      </w:r>
    </w:p>
    <w:p>
      <w:pPr>
        <w:pStyle w:val="ListBullet"/>
      </w:pPr>
      <w:r>
        <w:t>The human metabolic model (RECON1) was successfully loaded and analysed, demonstrating MetaboDesk's scalability to genome-scale reconstructions with &gt;3700 reactions and &gt;1900 genes.</w:t>
      </w:r>
    </w:p>
    <w:p>
      <w:r>
        <w:rPr>
          <w:b/>
        </w:rPr>
        <w:br/>
        <w:t>Conclusion: MetaboDesk produces results that are numerically identical to the COBRApy library and consistent with published scientific literature. The application is validated for academic and research use in constraint-based metabolic modelling.</w:t>
      </w:r>
    </w:p>
    <w:p>
      <w:r>
        <w:br w:type="page"/>
      </w:r>
    </w:p>
    <w:p>
      <w:pPr>
        <w:pStyle w:val="Heading1"/>
      </w:pPr>
      <w:r>
        <w:t>13. References</w:t>
      </w:r>
    </w:p>
    <w:p>
      <w:pPr>
        <w:spacing w:after="80"/>
      </w:pPr>
      <w:r>
        <w:rPr>
          <w:sz w:val="18"/>
        </w:rPr>
        <w:t>1.  Orth JD et al. (2010) A comprehensive genome-scale reconstruction of Escherichia coli metabolism. Mol Syst Biol 6:390.</w:t>
      </w:r>
    </w:p>
    <w:p>
      <w:pPr>
        <w:spacing w:after="80"/>
      </w:pPr>
      <w:r>
        <w:rPr>
          <w:sz w:val="18"/>
        </w:rPr>
        <w:t>2.  Mo ML et al. (2009) Connecting extracellular metabolomic measurements to intracellular flux states in yeast. BMC Syst Biol 3:37.</w:t>
      </w:r>
    </w:p>
    <w:p>
      <w:pPr>
        <w:spacing w:after="80"/>
      </w:pPr>
      <w:r>
        <w:rPr>
          <w:sz w:val="18"/>
        </w:rPr>
        <w:t>3.  Duarte NC et al. (2007) Global reconstruction of the human metabolic network based on genomic and bibliomic data. PNAS 104(6):1777–1782.</w:t>
      </w:r>
    </w:p>
    <w:p>
      <w:pPr>
        <w:spacing w:after="80"/>
      </w:pPr>
      <w:r>
        <w:rPr>
          <w:sz w:val="18"/>
        </w:rPr>
        <w:t>4.  Lewis NE et al. (2010) Omic data from evolved E. coli are consistent with computed optimal growth from genome-scale models. Mol Syst Biol 6:390.</w:t>
      </w:r>
    </w:p>
    <w:p>
      <w:pPr>
        <w:spacing w:after="80"/>
      </w:pPr>
      <w:r>
        <w:rPr>
          <w:sz w:val="18"/>
        </w:rPr>
        <w:t>5.  Mahadevan R &amp; Schilling CH (2003) The effects of alternate optimal solutions in constraint-based genome-scale metabolic models. Metab Eng 5(4):264–276.</w:t>
      </w:r>
    </w:p>
    <w:p>
      <w:pPr>
        <w:spacing w:after="80"/>
      </w:pPr>
      <w:r>
        <w:rPr>
          <w:sz w:val="18"/>
        </w:rPr>
        <w:t>6.  Baba T et al. (2006) Construction of E. coli K-12 in-frame, single-gene knockout mutants: the Keio collection. Mol Syst Biol 2:2006.0008.</w:t>
      </w:r>
    </w:p>
    <w:p>
      <w:pPr>
        <w:spacing w:after="80"/>
      </w:pPr>
      <w:r>
        <w:rPr>
          <w:sz w:val="18"/>
        </w:rPr>
        <w:t>7.  Giaever G et al. (2002) Functional profiling of the Saccharomyces cerevisiae genome. Nature 418:387–391.</w:t>
      </w:r>
    </w:p>
    <w:p>
      <w:pPr>
        <w:spacing w:after="80"/>
      </w:pPr>
      <w:r>
        <w:rPr>
          <w:sz w:val="18"/>
        </w:rPr>
        <w:t>8.  Burgard AP et al. (2003) OptKnock: a bilevel programming framework. Biotechnol Bioeng 84(6):647–657.</w:t>
      </w:r>
    </w:p>
    <w:p>
      <w:pPr>
        <w:spacing w:after="80"/>
      </w:pPr>
      <w:r>
        <w:rPr>
          <w:sz w:val="18"/>
        </w:rPr>
        <w:t>9.  Schellenberger J &amp; Palsson BØ (2009) Use of randomized sampling for analysis of metabolic networks. J Biol Chem 284(9):5457–5461.</w:t>
      </w:r>
    </w:p>
    <w:p>
      <w:pPr>
        <w:spacing w:after="80"/>
      </w:pPr>
      <w:r>
        <w:rPr>
          <w:sz w:val="18"/>
        </w:rPr>
        <w:t>10. Colijn C et al. (2009) Interpreting expression data with metabolic flux models: predicting Mycobacterium tuberculosis mycolic acid production. PLoS Comput Biol 5(8):e1000489.  (E-Flux)</w:t>
      </w:r>
    </w:p>
    <w:p>
      <w:pPr>
        <w:spacing w:after="80"/>
      </w:pPr>
      <w:r>
        <w:rPr>
          <w:sz w:val="18"/>
        </w:rPr>
        <w:t>11. Becker SA &amp; Palsson BØ (2008) Context-specific metabolic networks are consistent with experiments. PLoS Comput Biol 4(5):e1000082.  (GIMME)</w:t>
      </w:r>
    </w:p>
    <w:p>
      <w:pPr>
        <w:spacing w:after="80"/>
      </w:pPr>
      <w:r>
        <w:rPr>
          <w:sz w:val="18"/>
        </w:rPr>
        <w:t>12. Shlomi T et al. (2008) Network-based prediction of human tissue-specific metabolism. Nat Biotechnol 26(9):1003–1010.  (iMAT)</w:t>
      </w:r>
    </w:p>
    <w:p>
      <w:pPr>
        <w:spacing w:after="80"/>
      </w:pPr>
      <w:r>
        <w:rPr>
          <w:sz w:val="18"/>
        </w:rPr>
        <w:t>13. Sánchez BJ et al. (2017) Improving the phenotype predictions of a yeast genome-scale metabolic model by incorporating enzymatic constraints. Mol Syst Biol 13(8):935.  (GECKO)</w:t>
      </w:r>
    </w:p>
    <w:p>
      <w:pPr>
        <w:spacing w:after="80"/>
      </w:pPr>
      <w:r>
        <w:rPr>
          <w:sz w:val="18"/>
        </w:rPr>
        <w:t>14. Henry CS et al. (2007) Thermodynamics-based metabolic flux analysis. Biophys J 92(5):1792–1805.  (TMFA)</w:t>
      </w:r>
    </w:p>
    <w:p>
      <w:pPr>
        <w:spacing w:after="80"/>
      </w:pPr>
      <w:r>
        <w:rPr>
          <w:sz w:val="18"/>
        </w:rPr>
        <w:t>15. Choi HS et al. (2010) In silico identification of gene amplification targets for improvement of lycopene production. Appl Environ Microbiol 76(10):3097–3105.  (FSEOF)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565C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565C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565C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