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0C9CE3FF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B7970">
        <w:rPr>
          <w:sz w:val="28"/>
          <w:szCs w:val="28"/>
          <w:u w:val="single"/>
          <w:lang w:val="en-US"/>
        </w:rPr>
        <w:t>id</w:t>
      </w:r>
      <w:r w:rsidR="00552170" w:rsidRPr="00552170">
        <w:rPr>
          <w:sz w:val="28"/>
          <w:szCs w:val="28"/>
          <w:u w:val="single"/>
        </w:rPr>
        <w:t>1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77777777" w:rsidR="00E73FD2" w:rsidRPr="009856EB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  <w:t>физико-математических и естественных наук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19E2961A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09.03.03 Прикладная информатика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049A81AE" w:rsidR="00E73FD2" w:rsidRPr="002B0562" w:rsidRDefault="003F2FDB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 w:rsidRPr="003F2FDB">
              <w:rPr>
                <w:bCs/>
                <w:i/>
                <w:noProof/>
                <w:sz w:val="28"/>
                <w:szCs w:val="28"/>
              </w:rPr>
              <w:t>Прикладная информатика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B47D967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552170" w:rsidRPr="005521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TableGrid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18EEEC1A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4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BFE9C73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4B4066" w:rsidRPr="000D082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5F3691F9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B4066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E7808FB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560EC66D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097BC13F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6E1AEB80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156B427C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3FA3C9A6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BDFD0F9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5AA8AEA2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{{id</w:t>
            </w:r>
            <w:r w:rsidR="00DE7E8D" w:rsidRPr="00627EF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04DA2400" w:rsidR="00DE7E8D" w:rsidRPr="00C90C63" w:rsidRDefault="00DE7E8D" w:rsidP="00DE7E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37EDAD88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43250A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0F954FA6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{{id</w:t>
            </w:r>
            <w:r w:rsidR="005521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TableGrid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70F78BA0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1E303AF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{{id</w:t>
            </w:r>
            <w:r w:rsidR="00C54333" w:rsidRPr="00A10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7D3" w:rsidRPr="00A10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3AC19A10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{{id</w:t>
            </w:r>
            <w:r w:rsidR="00BC181C" w:rsidRPr="00A107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Heading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1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061A6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963BF"/>
    <w:rsid w:val="006B0158"/>
    <w:rsid w:val="006E7F3F"/>
    <w:rsid w:val="006F61E7"/>
    <w:rsid w:val="00701F19"/>
    <w:rsid w:val="00731F42"/>
    <w:rsid w:val="00750C57"/>
    <w:rsid w:val="007B45A6"/>
    <w:rsid w:val="007B7970"/>
    <w:rsid w:val="007D18F3"/>
    <w:rsid w:val="007E0C2F"/>
    <w:rsid w:val="007E7297"/>
    <w:rsid w:val="007E7EB8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A1E09"/>
    <w:rsid w:val="009C0F59"/>
    <w:rsid w:val="009F206C"/>
    <w:rsid w:val="00A107D3"/>
    <w:rsid w:val="00A50988"/>
    <w:rsid w:val="00A60889"/>
    <w:rsid w:val="00A65D30"/>
    <w:rsid w:val="00AB2E51"/>
    <w:rsid w:val="00AB4E52"/>
    <w:rsid w:val="00AD0835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">
    <w:name w:val="Основной шрифт абзаца2"/>
    <w:rsid w:val="00854AF0"/>
  </w:style>
  <w:style w:type="character" w:customStyle="1" w:styleId="1">
    <w:name w:val="Основной шрифт абзаца1"/>
    <w:rsid w:val="00854AF0"/>
  </w:style>
  <w:style w:type="character" w:customStyle="1" w:styleId="a">
    <w:name w:val="Символ нумерации"/>
    <w:rsid w:val="00854AF0"/>
  </w:style>
  <w:style w:type="paragraph" w:customStyle="1" w:styleId="10">
    <w:name w:val="Заголовок1"/>
    <w:basedOn w:val="Normal"/>
    <w:next w:val="BodyText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BodyText">
    <w:name w:val="Body Text"/>
    <w:basedOn w:val="Normal"/>
    <w:rsid w:val="00854AF0"/>
    <w:pPr>
      <w:jc w:val="both"/>
    </w:pPr>
    <w:rPr>
      <w:sz w:val="24"/>
      <w:szCs w:val="24"/>
    </w:rPr>
  </w:style>
  <w:style w:type="paragraph" w:styleId="List">
    <w:name w:val="List"/>
    <w:basedOn w:val="BodyText"/>
    <w:rsid w:val="00854AF0"/>
  </w:style>
  <w:style w:type="paragraph" w:styleId="Caption">
    <w:name w:val="caption"/>
    <w:basedOn w:val="Normal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0">
    <w:name w:val="Указатель3"/>
    <w:basedOn w:val="Normal"/>
    <w:rsid w:val="00854AF0"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next w:val="Subtitle"/>
    <w:rsid w:val="00854AF0"/>
    <w:pPr>
      <w:jc w:val="center"/>
    </w:pPr>
    <w:rPr>
      <w:sz w:val="32"/>
      <w:szCs w:val="32"/>
    </w:rPr>
  </w:style>
  <w:style w:type="paragraph" w:customStyle="1" w:styleId="20">
    <w:name w:val="Указатель2"/>
    <w:basedOn w:val="Normal"/>
    <w:rsid w:val="00854AF0"/>
    <w:pPr>
      <w:suppressLineNumbers/>
    </w:pPr>
    <w:rPr>
      <w:rFonts w:cs="FreeSans"/>
    </w:rPr>
  </w:style>
  <w:style w:type="paragraph" w:customStyle="1" w:styleId="12">
    <w:name w:val="Название1"/>
    <w:basedOn w:val="Normal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Normal"/>
    <w:rsid w:val="00854AF0"/>
    <w:pPr>
      <w:suppressLineNumbers/>
    </w:pPr>
  </w:style>
  <w:style w:type="paragraph" w:styleId="Subtitle">
    <w:name w:val="Subtitle"/>
    <w:basedOn w:val="10"/>
    <w:next w:val="BodyText"/>
    <w:qFormat/>
    <w:rsid w:val="00854AF0"/>
    <w:pPr>
      <w:jc w:val="center"/>
    </w:pPr>
    <w:rPr>
      <w:i/>
      <w:iCs/>
    </w:rPr>
  </w:style>
  <w:style w:type="paragraph" w:styleId="BodyTextIndent">
    <w:name w:val="Body Text Indent"/>
    <w:basedOn w:val="Normal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BalloonText">
    <w:name w:val="Balloon Text"/>
    <w:basedOn w:val="Normal"/>
    <w:rsid w:val="00854AF0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Normal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0">
    <w:name w:val="Содержимое таблицы"/>
    <w:basedOn w:val="Normal"/>
    <w:rsid w:val="00854AF0"/>
    <w:pPr>
      <w:suppressLineNumbers/>
    </w:pPr>
  </w:style>
  <w:style w:type="paragraph" w:customStyle="1" w:styleId="a1">
    <w:name w:val="Заголовок таблицы"/>
    <w:basedOn w:val="a0"/>
    <w:rsid w:val="00854AF0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5</cp:revision>
  <cp:lastPrinted>2009-05-26T03:23:00Z</cp:lastPrinted>
  <dcterms:created xsi:type="dcterms:W3CDTF">2024-06-23T18:10:00Z</dcterms:created>
  <dcterms:modified xsi:type="dcterms:W3CDTF">2024-06-30T07:54:00Z</dcterms:modified>
</cp:coreProperties>
</file>