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0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6" w:name="эффективность-рекламы"/>
    <w:p>
      <w:pPr>
        <w:pStyle w:val="Heading2"/>
      </w:pPr>
      <w:r>
        <w:t xml:space="preserve">Эффективность рекламы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Необходимо,чтобы прибыль будущих продаж с избытком покрывала издержки на рекламу. Вначале расходы могут превышать прибыль, поскольку лишь малая частьпотенциальных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вид.</w:t>
      </w:r>
    </w:p>
    <w:p>
      <w:pPr>
        <w:pStyle w:val="CaptionedFigure"/>
      </w:pPr>
      <w:r>
        <w:drawing>
          <wp:inline>
            <wp:extent cx="5334000" cy="4262958"/>
            <wp:effectExtent b="0" l="0" r="0" t="0"/>
            <wp:docPr descr="График решения уравнениея модели Мальтуса" title="" id="21" name="Picture"/>
            <a:graphic>
              <a:graphicData uri="http://schemas.openxmlformats.org/drawingml/2006/picture">
                <pic:pic>
                  <pic:nvPicPr>
                    <pic:cNvPr descr="../img/mode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уравнениея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кривой:</w:t>
      </w:r>
    </w:p>
    <w:p>
      <w:pPr>
        <w:pStyle w:val="CaptionedFigure"/>
      </w:pPr>
      <w:r>
        <w:drawing>
          <wp:inline>
            <wp:extent cx="5334000" cy="2143160"/>
            <wp:effectExtent b="0" l="0" r="0" t="0"/>
            <wp:docPr descr="График логистической кривой" title="" id="24" name="Picture"/>
            <a:graphic>
              <a:graphicData uri="http://schemas.openxmlformats.org/drawingml/2006/picture">
                <pic:pic>
                  <pic:nvPicPr>
                    <pic:cNvPr descr="../img/log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6"/>
    <w:bookmarkEnd w:id="27"/>
    <w:bookmarkStart w:id="29" w:name="задание"/>
    <w:p>
      <w:pPr>
        <w:pStyle w:val="Heading1"/>
      </w:pPr>
      <w:r>
        <w:t xml:space="preserve">Задание</w:t>
      </w:r>
    </w:p>
    <w:bookmarkStart w:id="28" w:name="вариант-36"/>
    <w:p>
      <w:pPr>
        <w:pStyle w:val="Heading2"/>
      </w:pPr>
      <w:r>
        <w:t xml:space="preserve">Вариант 36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rPr>
                <m:sty m:val="p"/>
              </m:rPr>
              <m:t>+</m:t>
            </m:r>
            <m:r>
              <m:t>0.000094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0.000094</m:t>
            </m:r>
            <m:r>
              <m:t>n</m:t>
            </m:r>
            <m:r>
              <m:rPr>
                <m:sty m:val="p"/>
              </m:rPr>
              <m:t>+</m:t>
            </m:r>
            <m:r>
              <m:t>0.94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0.94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 N = 1040,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End w:id="29"/>
    <w:bookmarkStart w:id="30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Инициализируем пакеты и константы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0.000094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Прописываем функции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(alpha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(beta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alpha*sin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4"/>
        </w:numPr>
        <w:pStyle w:val="Compact"/>
      </w:pPr>
      <w:r>
        <w:t xml:space="preserve">Решаем и получаем графики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(AD, n0, t)</w:t>
      </w:r>
      <w:r>
        <w:br/>
      </w:r>
      <w:r>
        <w:rPr>
          <w:rStyle w:val="NormalTok"/>
        </w:rPr>
        <w:t xml:space="preserve">solv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solv,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 - Кол-во заинтересованных людей в рекламе"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"img/n.png"</w:t>
      </w:r>
      <w:r>
        <w:rPr>
          <w:rStyle w:val="NormalTok"/>
        </w:rPr>
        <w:t xml:space="preserve">)</w:t>
      </w:r>
    </w:p>
    <w:bookmarkEnd w:id="30"/>
    <w:bookmarkStart w:id="40" w:name="результаты-программы"/>
    <w:p>
      <w:pPr>
        <w:pStyle w:val="Heading1"/>
      </w:pPr>
      <w:r>
        <w:t xml:space="preserve">Результаты программы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График для первого уравнения" title="" id="32" name="Picture"/>
            <a:graphic>
              <a:graphicData uri="http://schemas.openxmlformats.org/drawingml/2006/picture">
                <pic:pic>
                  <pic:nvPicPr>
                    <pic:cNvPr descr="../img/first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первого уравнения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График для второго уравнения" title="" id="35" name="Picture"/>
            <a:graphic>
              <a:graphicData uri="http://schemas.openxmlformats.org/drawingml/2006/picture">
                <pic:pic>
                  <pic:nvPicPr>
                    <pic:cNvPr descr="../img/secon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второго уравнения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График для третьего уравнения" title="" id="38" name="Picture"/>
            <a:graphic>
              <a:graphicData uri="http://schemas.openxmlformats.org/drawingml/2006/picture">
                <pic:pic>
                  <pic:nvPicPr>
                    <pic:cNvPr descr="../img/thir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третьего уравнения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 мы познакомились с моделью рекламной кампании.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Юсупов Эмиль Артурович</dc:creator>
  <dc:language>ru-RU</dc:language>
  <cp:keywords/>
  <dcterms:created xsi:type="dcterms:W3CDTF">2024-03-22T11:07:33Z</dcterms:created>
  <dcterms:modified xsi:type="dcterms:W3CDTF">2024-03-22T11:07:33Z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