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Колебания</w:t>
      </w:r>
      <w:r>
        <w:t xml:space="preserve"> </w:t>
      </w:r>
      <w:r>
        <w:t xml:space="preserve">цепочек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p>
      <w:pPr>
        <w:pStyle w:val="Author"/>
      </w:pPr>
      <w:r>
        <w:t xml:space="preserve">Подлесный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p>
      <w:pPr>
        <w:pStyle w:val="Author"/>
      </w:pPr>
      <w:r>
        <w:t xml:space="preserve">Сироджиддинов</w:t>
      </w:r>
      <w:r>
        <w:t xml:space="preserve"> </w:t>
      </w:r>
      <w:r>
        <w:t xml:space="preserve">Камолиддин</w:t>
      </w:r>
      <w:r>
        <w:t xml:space="preserve"> </w:t>
      </w:r>
      <w:r>
        <w:t xml:space="preserve">Джамолиддинович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2024</w:t>
      </w:r>
    </w:p>
    <w:bookmarkStart w:id="21" w:name="информация"/>
    <w:p>
      <w:pPr>
        <w:pStyle w:val="Heading1"/>
      </w:pPr>
      <w:r>
        <w:t xml:space="preserve">Информация</w:t>
      </w:r>
    </w:p>
    <w:bookmarkStart w:id="20" w:name="докладчик"/>
    <w:p>
      <w:pPr>
        <w:pStyle w:val="Heading2"/>
      </w:pPr>
      <w:r>
        <w:t xml:space="preserve">Докладчик</w:t>
      </w:r>
    </w:p>
    <w:p>
      <w:pPr>
        <w:pStyle w:val="Compact"/>
        <w:numPr>
          <w:ilvl w:val="0"/>
          <w:numId w:val="1001"/>
        </w:numPr>
      </w:pPr>
      <w:r>
        <w:t xml:space="preserve">Подлесный Иван Сергеевич</w:t>
      </w:r>
    </w:p>
    <w:p>
      <w:pPr>
        <w:pStyle w:val="Compact"/>
        <w:numPr>
          <w:ilvl w:val="0"/>
          <w:numId w:val="1001"/>
        </w:numPr>
      </w:pPr>
      <w:r>
        <w:t xml:space="preserve">НКН-01-21</w:t>
      </w:r>
    </w:p>
    <w:p>
      <w:pPr>
        <w:pStyle w:val="Compact"/>
        <w:numPr>
          <w:ilvl w:val="0"/>
          <w:numId w:val="1001"/>
        </w:numPr>
      </w:pPr>
      <w:r>
        <w:t xml:space="preserve">Российский университет дружбы народов</w:t>
      </w:r>
    </w:p>
    <w:bookmarkEnd w:id="20"/>
    <w:bookmarkEnd w:id="21"/>
    <w:bookmarkStart w:id="25" w:name="вводная-часть"/>
    <w:p>
      <w:pPr>
        <w:pStyle w:val="Heading1"/>
      </w:pPr>
      <w:r>
        <w:t xml:space="preserve">Вводная часть</w:t>
      </w:r>
    </w:p>
    <w:bookmarkStart w:id="22" w:name="актуальность"/>
    <w:p>
      <w:pPr>
        <w:pStyle w:val="Heading2"/>
      </w:pPr>
      <w:r>
        <w:t xml:space="preserve">Актуальность</w:t>
      </w:r>
    </w:p>
    <w:p>
      <w:pPr>
        <w:pStyle w:val="Compact"/>
        <w:numPr>
          <w:ilvl w:val="0"/>
          <w:numId w:val="1002"/>
        </w:numPr>
      </w:pPr>
      <w:r>
        <w:t xml:space="preserve">Для моделирования поведения металлических цепей, электрических цепей, акустических систем, биохимических реакций.</w:t>
      </w:r>
    </w:p>
    <w:p>
      <w:pPr>
        <w:pStyle w:val="Compact"/>
        <w:numPr>
          <w:ilvl w:val="0"/>
          <w:numId w:val="1002"/>
        </w:numPr>
      </w:pPr>
      <w:r>
        <w:t xml:space="preserve">Для моделирования и анализа более сложных физических моделей и процессов.</w:t>
      </w:r>
    </w:p>
    <w:bookmarkEnd w:id="22"/>
    <w:bookmarkStart w:id="23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pStyle w:val="Compact"/>
        <w:numPr>
          <w:ilvl w:val="0"/>
          <w:numId w:val="1003"/>
        </w:numPr>
      </w:pPr>
      <w:r>
        <w:t xml:space="preserve">Объектом исследования являются колебания цепочек.</w:t>
      </w:r>
    </w:p>
    <w:p>
      <w:pPr>
        <w:pStyle w:val="Compact"/>
        <w:numPr>
          <w:ilvl w:val="0"/>
          <w:numId w:val="1003"/>
        </w:numPr>
      </w:pPr>
      <w:r>
        <w:t xml:space="preserve">Предмет исследования - математические модели колебании цепочек.</w:t>
      </w:r>
    </w:p>
    <w:bookmarkEnd w:id="23"/>
    <w:bookmarkStart w:id="24" w:name="цели-и-задачи"/>
    <w:p>
      <w:pPr>
        <w:pStyle w:val="Heading2"/>
      </w:pPr>
      <w:r>
        <w:t xml:space="preserve">Цели и задачи</w:t>
      </w:r>
    </w:p>
    <w:p>
      <w:pPr>
        <w:pStyle w:val="FirstParagraph"/>
      </w:pPr>
      <w:r>
        <w:t xml:space="preserve">Цель:</w:t>
      </w:r>
    </w:p>
    <w:p>
      <w:pPr>
        <w:pStyle w:val="Compact"/>
        <w:numPr>
          <w:ilvl w:val="0"/>
          <w:numId w:val="1004"/>
        </w:numPr>
      </w:pPr>
      <w:r>
        <w:t xml:space="preserve">Целью работы является построение математической модели колебании цепочек.</w:t>
      </w:r>
    </w:p>
    <w:p>
      <w:pPr>
        <w:pStyle w:val="FirstParagraph"/>
      </w:pPr>
      <w:r>
        <w:t xml:space="preserve">Для достижения поставленной цели необходимо выполнение следующих задач.</w:t>
      </w:r>
    </w:p>
    <w:p>
      <w:pPr>
        <w:pStyle w:val="BodyText"/>
      </w:pPr>
      <w:r>
        <w:t xml:space="preserve">Задачи:</w:t>
      </w:r>
    </w:p>
    <w:p>
      <w:pPr>
        <w:pStyle w:val="Compact"/>
        <w:numPr>
          <w:ilvl w:val="0"/>
          <w:numId w:val="1005"/>
        </w:numPr>
      </w:pPr>
      <w:r>
        <w:t xml:space="preserve">исследовать какие условия необходимы для установления равновесия;</w:t>
      </w:r>
    </w:p>
    <w:p>
      <w:pPr>
        <w:pStyle w:val="Compact"/>
        <w:numPr>
          <w:ilvl w:val="0"/>
          <w:numId w:val="1005"/>
        </w:numPr>
      </w:pPr>
      <w:r>
        <w:t xml:space="preserve">исследовать как происходит приближение к равновесию;</w:t>
      </w:r>
    </w:p>
    <w:p>
      <w:pPr>
        <w:pStyle w:val="Compact"/>
        <w:numPr>
          <w:ilvl w:val="0"/>
          <w:numId w:val="1005"/>
        </w:numPr>
      </w:pPr>
      <w:r>
        <w:t xml:space="preserve">исследовать какие интересные явления возможны в простейшем одномерном случае.</w:t>
      </w:r>
    </w:p>
    <w:bookmarkEnd w:id="24"/>
    <w:bookmarkEnd w:id="25"/>
    <w:bookmarkStart w:id="28" w:name="используемые-концепции"/>
    <w:p>
      <w:pPr>
        <w:pStyle w:val="Heading1"/>
      </w:pPr>
      <w:r>
        <w:t xml:space="preserve">Используемые концепции</w:t>
      </w:r>
    </w:p>
    <w:bookmarkStart w:id="26" w:name="гармоническая-цепочка"/>
    <w:p>
      <w:pPr>
        <w:pStyle w:val="Heading2"/>
      </w:pPr>
      <w:r>
        <w:t xml:space="preserve">Гармоническая цепочка</w:t>
      </w:r>
    </w:p>
    <w:p>
      <w:pPr>
        <w:pStyle w:val="Compact"/>
        <w:numPr>
          <w:ilvl w:val="0"/>
          <w:numId w:val="1006"/>
        </w:numPr>
      </w:pPr>
      <w:r>
        <w:t xml:space="preserve">Гармонические колебания — колебания, при которых физическая величина изменяется с течением времени по гармоническому (синусоидальному, косинусоидальному) закону.</w:t>
      </w:r>
    </w:p>
    <w:p>
      <w:pPr>
        <w:pStyle w:val="Compact"/>
        <w:numPr>
          <w:ilvl w:val="0"/>
          <w:numId w:val="1006"/>
        </w:numPr>
      </w:pPr>
      <w:r>
        <w:t xml:space="preserve">Cуммарная сила, действующая на частицу с номером i: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k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−</m:t>
        </m:r>
        <m:r>
          <m:t>k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k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</m:oMath>
    </w:p>
    <w:p>
      <w:pPr>
        <w:pStyle w:val="Compact"/>
        <w:numPr>
          <w:ilvl w:val="0"/>
          <w:numId w:val="1006"/>
        </w:numPr>
      </w:pPr>
      <w:r>
        <w:t xml:space="preserve">Уравнение движения для i-частицы:</w:t>
      </w:r>
      <w:r>
        <w:t xml:space="preserve"> </w:t>
      </w:r>
      <m:oMath>
        <m:r>
          <m:t>m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num>
          <m:den>
            <m:r>
              <m:t>d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k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N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Полная энергия системы, учитывая скорость частиц: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</m:num>
          <m:den>
            <m:r>
              <m:t>2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nary>
        <m:r>
          <m:rPr>
            <m:sty m:val="p"/>
          </m:rPr>
          <m:t>+</m:t>
        </m:r>
        <m:f>
          <m:fPr>
            <m:type m:val="bar"/>
          </m:fPr>
          <m:num>
            <m:r>
              <m:t>k</m:t>
            </m:r>
          </m:num>
          <m:den>
            <m:r>
              <m:t>2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nary>
      </m:oMath>
      <w:r>
        <w:t xml:space="preserve">.</w:t>
      </w:r>
    </w:p>
    <w:bookmarkEnd w:id="26"/>
    <w:bookmarkStart w:id="27" w:name="Xa8efc1624b222ea9b7c4ed625cbba9f8c20af06"/>
    <w:p>
      <w:pPr>
        <w:pStyle w:val="Heading2"/>
      </w:pPr>
      <w:r>
        <w:t xml:space="preserve">Ангармоническая цепочка. Задача Ферми – Паста – Улама</w:t>
      </w:r>
    </w:p>
    <w:p>
      <w:pPr>
        <w:numPr>
          <w:ilvl w:val="0"/>
          <w:numId w:val="1007"/>
        </w:numPr>
      </w:pPr>
      <w:r>
        <w:t xml:space="preserve">Для реальных пружин линейное выражение для возвращающей силы F = -kx верно только для малых деформаций. При больших сжатиях</w:t>
      </w:r>
      <w:r>
        <w:t xml:space="preserve"> </w:t>
      </w:r>
      <w:r>
        <w:t xml:space="preserve">пружины сила обычно больше, а при больших растяжениях меньше, чем kx. Такую зависимость можно получить, добавив еще одно слагаемое к силе:</w:t>
      </w:r>
    </w:p>
    <w:p>
      <w:pPr>
        <w:pStyle w:val="Compact"/>
        <w:numPr>
          <w:ilvl w:val="1"/>
          <w:numId w:val="1008"/>
        </w:numPr>
      </w:pPr>
      <m:oMath>
        <m:r>
          <m:t>F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k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α</m:t>
                </m:r>
                <m:r>
                  <m:t>x</m:t>
                </m:r>
              </m:num>
              <m:den>
                <m:r>
                  <m:t>d</m:t>
                </m:r>
              </m:den>
            </m:f>
          </m:e>
        </m:d>
      </m:oMath>
      <w:r>
        <w:t xml:space="preserve">,</w:t>
      </w:r>
      <w:r>
        <w:t xml:space="preserve"> </w:t>
      </w:r>
      <w:r>
        <w:t xml:space="preserve">где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 безразмерный коэффициент.</w:t>
      </w:r>
    </w:p>
    <w:p>
      <w:pPr>
        <w:numPr>
          <w:ilvl w:val="0"/>
          <w:numId w:val="1007"/>
        </w:numPr>
      </w:pPr>
      <w:r>
        <w:t xml:space="preserve">Выражение для энергии:</w:t>
      </w:r>
    </w:p>
    <w:p>
      <w:pPr>
        <w:pStyle w:val="Compact"/>
        <w:numPr>
          <w:ilvl w:val="1"/>
          <w:numId w:val="1009"/>
        </w:numPr>
      </w:pP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</m:num>
          <m:den>
            <m:r>
              <m:t>2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nary>
        <m:r>
          <m:rPr>
            <m:sty m:val="p"/>
          </m:rPr>
          <m:t>+</m:t>
        </m:r>
        <m:f>
          <m:fPr>
            <m:type m:val="bar"/>
          </m:fPr>
          <m:num>
            <m:r>
              <m:t>k</m:t>
            </m:r>
          </m:num>
          <m:den>
            <m:r>
              <m:t>2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nary>
        <m:r>
          <m:rPr>
            <m:sty m:val="p"/>
          </m:rPr>
          <m:t>−</m:t>
        </m:r>
        <m:f>
          <m:fPr>
            <m:type m:val="bar"/>
          </m:fPr>
          <m:num>
            <m:r>
              <m:t>k</m:t>
            </m:r>
            <m:r>
              <m:t>α</m:t>
            </m:r>
          </m:num>
          <m:den>
            <m:r>
              <m:t>3</m:t>
            </m:r>
            <m:r>
              <m:t>d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d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)</m:t>
        </m:r>
      </m:oMath>
      <w:r>
        <w:t xml:space="preserve">.</w:t>
      </w:r>
    </w:p>
    <w:bookmarkEnd w:id="27"/>
    <w:bookmarkEnd w:id="28"/>
    <w:bookmarkStart w:id="33" w:name="математические-модели"/>
    <w:p>
      <w:pPr>
        <w:pStyle w:val="Heading1"/>
      </w:pPr>
      <w:r>
        <w:t xml:space="preserve">Математические модели</w:t>
      </w:r>
    </w:p>
    <w:bookmarkStart w:id="30" w:name="гармонические-колебания"/>
    <w:p>
      <w:pPr>
        <w:pStyle w:val="Heading2"/>
      </w:pPr>
      <w:r>
        <w:t xml:space="preserve">Гармонические колебания</w:t>
      </w:r>
    </w:p>
    <w:bookmarkStart w:id="29" w:name="Xc87a018b4dc18f3eba2824c196550395bcc2467"/>
    <w:p>
      <w:pPr>
        <w:pStyle w:val="Heading3"/>
      </w:pPr>
      <w:r>
        <w:t xml:space="preserve">Модель колебании одномерной цепочки атомов</w:t>
      </w:r>
    </w:p>
    <w:p>
      <w:pPr>
        <w:pStyle w:val="Compact"/>
        <w:numPr>
          <w:ilvl w:val="0"/>
          <w:numId w:val="1010"/>
        </w:numPr>
      </w:pPr>
      <w:r>
        <w:t xml:space="preserve">N точечных частиц массой m соединены между собой пружинками жесткости k.</w:t>
      </w:r>
    </w:p>
    <w:p>
      <w:pPr>
        <w:pStyle w:val="Compact"/>
        <w:numPr>
          <w:ilvl w:val="0"/>
          <w:numId w:val="1010"/>
        </w:numPr>
      </w:pPr>
      <w:r>
        <w:t xml:space="preserve">Крайние частицы прикреплены пружинками к неподвижным стенкам. Всего пружинок будет N+1 длина каждой из них d.</w:t>
      </w:r>
    </w:p>
    <w:p>
      <w:pPr>
        <w:pStyle w:val="Compact"/>
        <w:numPr>
          <w:ilvl w:val="0"/>
          <w:numId w:val="1010"/>
        </w:numPr>
      </w:pPr>
      <w:r>
        <w:t xml:space="preserve">частицы могут двигаться только вдоль прямой.</w:t>
      </w:r>
    </w:p>
    <w:bookmarkEnd w:id="29"/>
    <w:bookmarkEnd w:id="30"/>
    <w:bookmarkStart w:id="32" w:name="ангармонические-колебания"/>
    <w:p>
      <w:pPr>
        <w:pStyle w:val="Heading2"/>
      </w:pPr>
      <w:r>
        <w:t xml:space="preserve">Ангармонические колебания</w:t>
      </w:r>
    </w:p>
    <w:bookmarkStart w:id="31" w:name="нелинейная-модель"/>
    <w:p>
      <w:pPr>
        <w:pStyle w:val="Heading3"/>
      </w:pPr>
      <w:r>
        <w:t xml:space="preserve">Нелинейная модель</w:t>
      </w:r>
    </w:p>
    <w:p>
      <w:pPr>
        <w:pStyle w:val="Compact"/>
        <w:numPr>
          <w:ilvl w:val="0"/>
          <w:numId w:val="1011"/>
        </w:numPr>
      </w:pPr>
      <w:r>
        <w:t xml:space="preserve">Ангармоническая цепочка - это цепочка, в которой связи между элементами не являются линейными и включают нелинейные эффекты, что приводит к более сложному поведению системы. Такие цепочки могут использоваться для изучения различных явлений в физике, математике и других областях науки.</w:t>
      </w:r>
    </w:p>
    <w:bookmarkEnd w:id="31"/>
    <w:bookmarkEnd w:id="32"/>
    <w:bookmarkEnd w:id="33"/>
    <w:bookmarkStart w:id="34" w:name="итоги"/>
    <w:p>
      <w:pPr>
        <w:pStyle w:val="Heading1"/>
      </w:pPr>
      <w:r>
        <w:t xml:space="preserve">Итоги</w:t>
      </w:r>
    </w:p>
    <w:p>
      <w:pPr>
        <w:pStyle w:val="Compact"/>
        <w:numPr>
          <w:ilvl w:val="0"/>
          <w:numId w:val="1012"/>
        </w:numPr>
      </w:pPr>
      <w:r>
        <w:t xml:space="preserve">Колебания бывают разных видов - гармонические и ангармонические;</w:t>
      </w:r>
    </w:p>
    <w:p>
      <w:pPr>
        <w:pStyle w:val="Compact"/>
        <w:numPr>
          <w:ilvl w:val="0"/>
          <w:numId w:val="1012"/>
        </w:numPr>
      </w:pPr>
      <w:r>
        <w:t xml:space="preserve">Определили объект и предмет исследования;</w:t>
      </w:r>
    </w:p>
    <w:p>
      <w:pPr>
        <w:pStyle w:val="Compact"/>
        <w:numPr>
          <w:ilvl w:val="0"/>
          <w:numId w:val="1012"/>
        </w:numPr>
      </w:pPr>
      <w:r>
        <w:t xml:space="preserve">Описали используемые концепции;</w:t>
      </w:r>
    </w:p>
    <w:p>
      <w:pPr>
        <w:pStyle w:val="Compact"/>
        <w:numPr>
          <w:ilvl w:val="0"/>
          <w:numId w:val="1012"/>
        </w:numPr>
      </w:pPr>
      <w:r>
        <w:t xml:space="preserve">Рассмотрели виды математичесих моделей для реализации проекта.</w:t>
      </w:r>
    </w:p>
    <w:bookmarkEnd w:id="34"/>
    <w:bookmarkStart w:id="35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3"/>
        </w:numPr>
      </w:pPr>
      <w:r>
        <w:t xml:space="preserve">Медведев Д. А., Куперштох А. Л., Прууэл Э. Р., Сатонкина Н. П., Карпов Д. И. Моделирование физических процессов и явлений на ПК: Учеб. пособие / Новосибирск: Новосиб. гос. ун-т., 2010. —</w:t>
      </w:r>
      <w:r>
        <w:t xml:space="preserve"> </w:t>
      </w:r>
      <w:r>
        <w:t xml:space="preserve">101 с.</w:t>
      </w:r>
    </w:p>
    <w:p>
      <w:pPr>
        <w:numPr>
          <w:ilvl w:val="0"/>
          <w:numId w:val="1013"/>
        </w:numPr>
      </w:pPr>
      <w:r>
        <w:t xml:space="preserve">Блейкмор, Джон Физика твердого тела. - Москва: Мир, 1988. - 608 с.</w:t>
      </w:r>
    </w:p>
    <w:p>
      <w:pPr>
        <w:numPr>
          <w:ilvl w:val="0"/>
          <w:numId w:val="1013"/>
        </w:numPr>
      </w:pPr>
      <w:r>
        <w:t xml:space="preserve">Горелик Г. С. Колебания и волны. Введение в акустику, радиофизику и оптику. — М.: Физматлит, 1959. — 572 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Колебания цепочек</dc:title>
  <dc:creator>Юсупов Эмиль Артурович; Подлесный Иван Сергеевич; Сироджиддинов Камолиддин Джамолиддинович; Абу Сувейлим Мухаммед Мунифович</dc:creator>
  <dc:language>ru-RU</dc:language>
  <cp:keywords/>
  <dcterms:created xsi:type="dcterms:W3CDTF">2024-02-23T21:59:26Z</dcterms:created>
  <dcterms:modified xsi:type="dcterms:W3CDTF">2024-02-23T21:59:26Z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24 февраля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Этап 1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