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jc w:val="center"/>
        <w:spacing w:after="140" w:line="300" w:lineRule="auto"/>
      </w:pPr>
      <w:r>
        <w:rPr>
          <w:rFonts w:ascii="Times New Roman" w:hAnsi="Times New Roman" w:cs="Times New Roman"/>
          <w:b/>
          <w:sz w:val="30"/>
        </w:rPr>
        <w:t xml:space="preserve">Araştırma Notu</w:t>
      </w:r>
    </w:p>
    <w:p>
      <w:pPr>
        <w:jc w:val="both"/>
        <w:spacing w:after="140" w:line="300" w:lineRule="auto"/>
      </w:pPr>
      <w:r>
        <w:rPr>
          <w:rFonts w:ascii="Times New Roman" w:hAnsi="Times New Roman" w:cs="Times New Roman"/>
          <w:sz w:val="18"/>
          <w:color w:val="555555"/>
        </w:rPr>
        <w:t xml:space="preserve">12 Ekim 2026 · KKTC Hukuk Asistanı</w:t>
      </w:r>
    </w:p>
    <w:p>
      <w:pPr>
        <w:jc w:val="both"/>
        <w:spacing w:after="140" w:line="300" w:lineRule="auto"/>
      </w:pPr>
      <w:r>
        <w:rPr>
          <w:rFonts w:ascii="Times New Roman" w:hAnsi="Times New Roman" w:cs="Times New Roman"/>
          <w:b/>
          <w:sz w:val="25"/>
        </w:rPr>
        <w:t xml:space="preserve">Soru</w:t>
      </w:r>
    </w:p>
    <w:p>
      <w:pPr>
        <w:jc w:val="both"/>
        <w:spacing w:after="140" w:line="300" w:lineRule="auto"/>
      </w:pPr>
      <w:r>
        <w:rPr>
          <w:rFonts w:ascii="Times New Roman" w:hAnsi="Times New Roman" w:cs="Times New Roman"/>
          <w:sz w:val="24"/>
        </w:rPr>
        <w:t xml:space="preserve">Hüküm aleyhine istinaf süresi nedir?</w:t>
      </w:r>
    </w:p>
    <w:p>
      <w:pPr>
        <w:jc w:val="both"/>
        <w:spacing w:after="140" w:line="300" w:lineRule="auto"/>
      </w:pPr>
      <w:r>
        <w:rPr>
          <w:rFonts w:ascii="Times New Roman" w:hAnsi="Times New Roman" w:cs="Times New Roman"/>
          <w:b/>
          <w:sz w:val="25"/>
        </w:rPr>
        <w:t xml:space="preserve">Cevap</w:t>
      </w:r>
    </w:p>
    <w:p>
      <w:pPr>
        <w:jc w:val="both"/>
        <w:spacing w:after="140" w:line="300" w:lineRule="auto"/>
      </w:pPr>
      <w:r>
        <w:rPr>
          <w:rFonts w:ascii="Times New Roman" w:hAnsi="Times New Roman" w:cs="Times New Roman"/>
          <w:sz w:val="24"/>
        </w:rPr>
        <w:t xml:space="preserve">Test cevabı.</w:t>
      </w:r>
    </w:p>
    <w:p>
      <w:pPr>
        <w:jc w:val="both"/>
        <w:spacing w:after="140" w:line="300" w:lineRule="auto"/>
      </w:pPr>
      <w:r>
        <w:rPr>
          <w:rFonts w:ascii="Times New Roman" w:hAnsi="Times New Roman" w:cs="Times New Roman"/>
          <w:b/>
          <w:sz w:val="25"/>
        </w:rPr>
        <w:t xml:space="preserve">Genel kural</w:t>
      </w:r>
    </w:p>
    <w:p>
      <w:pPr>
        <w:jc w:val="both"/>
        <w:spacing w:after="140" w:line="300" w:lineRule="auto"/>
      </w:pPr>
      <w:r>
        <w:rPr>
          <w:rFonts w:ascii="Times New Roman" w:hAnsi="Times New Roman" w:cs="Times New Roman"/>
          <w:sz w:val="24"/>
        </w:rPr>
        <w:t xml:space="preserve">• Birinci tespit. [HMUT Emir 35 n.2]</w:t>
      </w:r>
    </w:p>
    <w:p>
      <w:pPr>
        <w:jc w:val="both"/>
        <w:spacing w:after="140" w:line="300" w:lineRule="auto"/>
      </w:pPr>
      <w:r>
        <w:rPr>
          <w:rFonts w:ascii="Times New Roman" w:hAnsi="Times New Roman" w:cs="Times New Roman"/>
          <w:b/>
          <w:sz w:val="25"/>
        </w:rPr>
        <w:t xml:space="preserve">Usul ve süreler</w:t>
      </w:r>
    </w:p>
    <w:p>
      <w:pPr>
        <w:jc w:val="both"/>
        <w:spacing w:after="140" w:line="300" w:lineRule="auto"/>
      </w:pPr>
      <w:r>
        <w:rPr>
          <w:rFonts w:ascii="Times New Roman" w:hAnsi="Times New Roman" w:cs="Times New Roman"/>
          <w:sz w:val="24"/>
        </w:rPr>
        <w:t xml:space="preserve">• İkinci tespit. [HMUT Emir 43 n.1]</w:t>
      </w:r>
    </w:p>
    <w:p>
      <w:pPr>
        <w:jc w:val="both"/>
        <w:spacing w:after="140" w:line="300" w:lineRule="auto"/>
      </w:pPr>
      <w:r>
        <w:rPr>
          <w:rFonts w:ascii="Times New Roman" w:hAnsi="Times New Roman" w:cs="Times New Roman"/>
          <w:b/>
          <w:sz w:val="25"/>
        </w:rPr>
        <w:t xml:space="preserve">Dayanılan maddeler</w:t>
      </w:r>
    </w:p>
    <w:p>
      <w:pPr>
        <w:jc w:val="both"/>
        <w:spacing w:after="140" w:line="300" w:lineRule="auto"/>
      </w:pPr>
      <w:r>
        <w:rPr>
          <w:rFonts w:ascii="Times New Roman" w:hAnsi="Times New Roman" w:cs="Times New Roman"/>
          <w:b/>
          <w:sz w:val="24"/>
        </w:rPr>
        <w:t xml:space="preserve">Hukuk Muhakemeleri Usulü Tüzüğü (Birleştirilmiş) (Tüzük 453) — Emir 35, nizam 2 · İstinaflar</w:t>
      </w:r>
    </w:p>
    <w:p>
      <w:pPr>
        <w:jc w:val="both"/>
        <w:spacing w:after="140" w:line="300" w:lineRule="auto"/>
        <w:ind w:left="567"/>
      </w:pPr>
      <w:r>
        <w:rPr>
          <w:rFonts w:ascii="Times New Roman" w:hAnsi="Times New Roman" w:cs="Times New Roman"/>
          <w:i/>
          <w:sz w:val="22"/>
        </w:rPr>
        <w:t xml:space="preserve">(1) İstinaf Mahkemesinin 57. Emrin 2. nizamı   uyarınca haiz olduğu yetkiye bağlı olarak ve bu  yetkiye zarar gelmeksizin, herhangi bir ara emrine karşı veya dava sayılmayan herhangi bir meselede verilen bir emre karşı, ilgili emir  gerek kesin gerek ara emri olsun, on dört gün geçtikten sonra, ve diğer emirlerde ise, altı  hafta geçtikten sonra, istinafa gidilemez; meğer  ki, mahkeme veya yargıç, emri verirken veya  emrin verilmesinden sonra herhangi bir zaman,  veya İstinaf Mahkemesi süreyi uzatmış olsun.  Yukarıda sözü edilen süreler, hüküm veya emrin,  istinafa gitmek niyetinde olan taraf bakımından  bağlayıcı olduğu tarihten, veya bir dilekçenin  reddedilmesine ilişkin hallerde dilekçenin reddedildiği tarihten başlayarak  hesaplanır.</w:t>
      </w:r>
      <w:r>
        <w:br/>
      </w:r>
      <w:r>
        <w:rPr>
          <w:rFonts w:ascii="Times New Roman" w:hAnsi="Times New Roman" w:cs="Times New Roman"/>
          <w:i/>
          <w:sz w:val="22"/>
        </w:rPr>
        <w:t xml:space="preserve"/>
      </w:r>
      <w:r>
        <w:br/>
      </w:r>
      <w:r>
        <w:rPr>
          <w:rFonts w:ascii="Times New Roman" w:hAnsi="Times New Roman" w:cs="Times New Roman"/>
          <w:i/>
          <w:sz w:val="22"/>
        </w:rPr>
        <w:t xml:space="preserve">(2) İstinaf edenin aleyhine, alt mahkeme tarafından veya ilk mahkemece masraflar için emir verilmişse, istinafın dinlenebilmesi için, alt veya ilk mahkeme hükmünde belirtilen veya mukayyitçe tespit edilen masraf miktarının karşı tarafa ödenmesi gereklidir.</w:t>
      </w:r>
      <w:r>
        <w:br/>
      </w:r>
      <w:r>
        <w:rPr>
          <w:rFonts w:ascii="Times New Roman" w:hAnsi="Times New Roman" w:cs="Times New Roman"/>
          <w:i/>
          <w:sz w:val="22"/>
        </w:rPr>
        <w:t xml:space="preserve"/>
      </w:r>
      <w:r>
        <w:br/>
      </w:r>
      <w:r>
        <w:rPr>
          <w:rFonts w:ascii="Times New Roman" w:hAnsi="Times New Roman" w:cs="Times New Roman"/>
          <w:i/>
          <w:sz w:val="22"/>
        </w:rPr>
        <w:t xml:space="preserve">(3) İstinaf Eden, masraf miktarını karşı tarafa ödemek istemezse, hükmün verildiği mahkemeye istida dosyalayabilir ve masrafların mahkeme mukayyitliğine yatırılmasını veya başka uygun bir çare üretilmesini talep edebilir.</w:t>
      </w:r>
      <w:r>
        <w:br/>
      </w:r>
      <w:r>
        <w:rPr>
          <w:rFonts w:ascii="Times New Roman" w:hAnsi="Times New Roman" w:cs="Times New Roman"/>
          <w:i/>
          <w:sz w:val="22"/>
        </w:rPr>
        <w:t xml:space="preserve"/>
      </w:r>
      <w:r>
        <w:br/>
      </w:r>
      <w:r>
        <w:rPr>
          <w:rFonts w:ascii="Times New Roman" w:hAnsi="Times New Roman" w:cs="Times New Roman"/>
          <w:i/>
          <w:sz w:val="22"/>
        </w:rPr>
        <w:t xml:space="preserve">(4) Böyle bir istida, masrafları mahkeme tespit etmişse istinaf süresi kadar bir süre içerisinde, masrafları mukayyit tespit etmişse, tespitten itibaren 14 gün içerisinde dosyalanır.</w:t>
      </w:r>
      <w:r>
        <w:br/>
      </w:r>
      <w:r>
        <w:rPr>
          <w:rFonts w:ascii="Times New Roman" w:hAnsi="Times New Roman" w:cs="Times New Roman"/>
          <w:i/>
          <w:sz w:val="22"/>
        </w:rPr>
        <w:t xml:space="preserve"/>
      </w:r>
      <w:r>
        <w:br/>
      </w:r>
      <w:r>
        <w:rPr>
          <w:rFonts w:ascii="Times New Roman" w:hAnsi="Times New Roman" w:cs="Times New Roman"/>
          <w:i/>
          <w:sz w:val="22"/>
        </w:rPr>
        <w:t xml:space="preserve">(5) İstinaf ihbarnamesi mahkemeye dosyalandıktan sonra 3 ay geçmiş olmasına karşın, konu masraf ödenmemiş ve ödendiği belge ile kanıtlanmamışsa veya müracaat sonrası ilgili mahkeme tarafından verilen emir yerine getirilmemişse veya masraf tespitinin mukayyitçe sonuçlandırılamaması  veya lehine masraf emri verilen tarafın masrafların tespiti amacıyla mukayyitliğe müracaat etmemesi dolayısıyla ödeme yapılamamışsa, Yüksek Mahkeme Mukayyidi, meseleyi  İstinaf Mahkemesi Başkanının bilgisine sunar, İstinaf Mahkemesi Başkanı, bunun üzerine, istinafın işlemden kaldırılması veya sürenin uzatılması dahil uygun göreceği başka herhangi bir emri verebilir.</w:t>
      </w:r>
      <w:r>
        <w:br/>
      </w:r>
      <w:r>
        <w:rPr>
          <w:rFonts w:ascii="Times New Roman" w:hAnsi="Times New Roman" w:cs="Times New Roman"/>
          <w:i/>
          <w:sz w:val="22"/>
        </w:rPr>
        <w:t xml:space="preserve"/>
      </w:r>
      <w:r>
        <w:br/>
      </w:r>
      <w:r>
        <w:rPr>
          <w:rFonts w:ascii="Times New Roman" w:hAnsi="Times New Roman" w:cs="Times New Roman"/>
          <w:i/>
          <w:sz w:val="22"/>
        </w:rPr>
        <w:t xml:space="preserve">(6)Bu Nizam uyarınca işlemden kaldırılan herhangi bir istinaf, istinaf mahkemesince uygun görüldüğü takdirde, adil sayılacak koşullarla yeniden işleme konabilir.</w:t>
      </w:r>
    </w:p>
    <w:p>
      <w:pPr>
        <w:jc w:val="both"/>
        <w:spacing w:after="140" w:line="300" w:lineRule="auto"/>
      </w:pPr>
      <w:r>
        <w:rPr>
          <w:rFonts w:ascii="Times New Roman" w:hAnsi="Times New Roman" w:cs="Times New Roman"/>
          <w:sz w:val="18"/>
          <w:color w:val="555555"/>
        </w:rPr>
        <w:t xml:space="preserve">Kaynak: Yüksek Mahkeme birleştirilmiş metni, madde sınırları otomatik · https://mevzuat.mahkemeler.net/Enstrumanlar/HMUT-Bir.yeni.doc</w:t>
      </w:r>
    </w:p>
    <w:p>
      <w:pPr>
        <w:jc w:val="both"/>
        <w:spacing w:after="140" w:line="300" w:lineRule="auto"/>
      </w:pPr>
      <w:r>
        <w:rPr>
          <w:rFonts w:ascii="Times New Roman" w:hAnsi="Times New Roman" w:cs="Times New Roman"/>
          <w:b/>
          <w:sz w:val="24"/>
        </w:rPr>
        <w:t xml:space="preserve">Hukuk Muhakemeleri Usulü Tüzüğü (Birleştirilmiş) (Tüzük 453) — Emir 43, nizam 1 · Alacakların veya malların haczedilmesi yoluyla icra takibi</w:t>
      </w:r>
    </w:p>
    <w:p>
      <w:pPr>
        <w:jc w:val="both"/>
        <w:spacing w:after="140" w:line="300" w:lineRule="auto"/>
        <w:ind w:left="567"/>
      </w:pPr>
      <w:r>
        <w:rPr>
          <w:rFonts w:ascii="Times New Roman" w:hAnsi="Times New Roman" w:cs="Times New Roman"/>
          <w:i/>
          <w:sz w:val="22"/>
        </w:rPr>
        <w:t xml:space="preserve">1. Fasıl 6 Hukuk Muhakemeleri Usulü Yasası’nın 75(A) maddesine istinaden başlatılan bir haciz müzekkeresi hariç, VII. Bölümü uyarınca, bir haciz müzekkeresi almak amacıyla başlatılan herhangi bir yargı işleminde haczedilmesi istenen alacağın borçlusu tarafından, haciz konması istenilen alacak veya malların bir üçüncü kişiye ait olduğu veya bu gibi alacak veya mallar üzerinde üçüncü bir kişi tarafından konmuş ihtiyati haciz veya yükümlülük bulunduğunun iddia edilmesi halinde, mahkeme veya yargıç bu gibi üçüncü kişiye mahkemeye gelip bu gibi alacak veya mal üzerindeki talebinin niteliğini ve ayrıntılarını bildirmesini emredebilir.</w:t>
      </w:r>
    </w:p>
    <w:p>
      <w:pPr>
        <w:jc w:val="both"/>
        <w:spacing w:after="140" w:line="300" w:lineRule="auto"/>
      </w:pPr>
      <w:r>
        <w:rPr>
          <w:rFonts w:ascii="Times New Roman" w:hAnsi="Times New Roman" w:cs="Times New Roman"/>
          <w:sz w:val="18"/>
          <w:color w:val="555555"/>
        </w:rPr>
        <w:t xml:space="preserve">Kaynak: Yüksek Mahkeme birleştirilmiş metni, madde sınırları otomatik · https://mevzuat.mahkemeler.net/Enstrumanlar/HMUT-Bir.yeni.doc</w:t>
      </w:r>
    </w:p>
    <w:p>
      <w:pPr>
        <w:jc w:val="both"/>
        <w:spacing w:after="140" w:line="300" w:lineRule="auto"/>
      </w:pPr>
      <w:r>
        <w:rPr>
          <w:rFonts w:ascii="Times New Roman" w:hAnsi="Times New Roman" w:cs="Times New Roman"/>
          <w:sz w:val="18"/>
          <w:color w:val="555555"/>
        </w:rPr>
        <w:t xml:space="preserve">Bu not yapay zekâ yardımıyla hazırlanmıştır ve hukuki görüş değildir. Kullanmadan önce dayanılan metinleri resmî kaynaktan kontrol edin.</w:t>
      </w:r>
    </w:p>
    <w:sectPr>
      <w:pgSz w:w="11906" w:h="16838"/>
      <w:pgMar w:top="1418" w:right="1418" w:bottom="1418" w:left="1418" w:header="709" w:footer="709" w:gutter="0"/>
    </w:sectPr>
  </w:body>
</w:document>
</file>

<file path=docProps/core.xml><?xml version="1.0" encoding="utf-8"?>
<cp:coreProperties xmlns:cp="http://schemas.openxmlformats.org/package/2006/metadata/core-properties" xmlns:dc="http://purl.org/dc/elements/1.1/">
  <dc:title>Araştırma Notu</dc:title>
  <dc:creator>KKTC Hukuk Asistanı</dc:creator>
</cp:coreProperties>
</file>