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40" w:line="300" w:lineRule="auto"/>
      </w:pPr>
      <w:r>
        <w:rPr>
          <w:rFonts w:ascii="Times New Roman" w:hAnsi="Times New Roman" w:cs="Times New Roman"/>
          <w:b/>
          <w:sz w:val="30"/>
        </w:rPr>
        <w:t xml:space="preserve">TALEP TAKRİRİ</w:t>
      </w:r>
    </w:p>
    <w:p>
      <w:pPr>
        <w:jc w:val="both"/>
        <w:spacing w:after="140" w:line="300" w:lineRule="auto"/>
      </w:pPr>
      <w:r>
        <w:rPr>
          <w:rFonts w:ascii="Times New Roman" w:hAnsi="Times New Roman" w:cs="Times New Roman"/>
          <w:sz w:val="24"/>
        </w:rPr>
        <w:t xml:space="preserve">1. Davacı Ayşe Demir Girne'de mukimdir.</w:t>
      </w:r>
    </w:p>
    <w:p>
      <w:pPr>
        <w:jc w:val="both"/>
        <w:spacing w:after="140" w:line="300" w:lineRule="auto"/>
      </w:pPr>
      <w:r>
        <w:rPr>
          <w:rFonts w:ascii="Times New Roman" w:hAnsi="Times New Roman" w:cs="Times New Roman"/>
          <w:sz w:val="24"/>
        </w:rPr>
        <w:t xml:space="preserve">2. Talep, Yasanın ilgili maddesine dayanır.</w:t>
      </w:r>
    </w:p>
    <w:p>
      <w:pPr>
        <w:jc w:val="both"/>
        <w:spacing w:after="140" w:line="300" w:lineRule="auto"/>
      </w:pPr>
      <w:r>
        <w:rPr>
          <w:rFonts w:ascii="Times New Roman" w:hAnsi="Times New Roman" w:cs="Times New Roman"/>
          <w:sz w:val="24"/>
        </w:rPr>
        <w:t xml:space="preserve">3. Yasanın 9999. maddesi uyarınca tazminat istenir.</w:t>
      </w:r>
    </w:p>
    <w:sectPr>
      <w:pgSz w:w="11906" w:h="16838"/>
      <w:pgMar w:top="1418" w:right="1418" w:bottom="1418" w:left="1418" w:header="709" w:footer="709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TALEP TAKRİRİ</dc:title>
  <dc:creator>KKTC Hukuk Asistanı</dc:creator>
</cp:coreProperties>
</file>