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Association Rule Learning</w:t>
      </w:r>
    </w:p>
    <w:p>
      <w:pPr>
        <w:spacing w:after="100"/>
        <w:jc w:val="center"/>
      </w:pPr>
      <w:r>
        <w:t xml:space="preserve">Groceries Dataset — Market Basket Analysis</w:t>
      </w:r>
    </w:p>
    <w:p>
      <w:pPr>
        <w:jc w:val="center"/>
      </w:pPr>
      <w:r>
        <w:t xml:space="preserve">Emmanuel Manzi</w:t>
      </w:r>
    </w:p>
    <w:p>
      <w:pPr>
        <w:spacing w:after="400"/>
        <w:jc w:val="center"/>
      </w:pPr>
      <w:r>
        <w:t xml:space="preserve">September 2026</w:t>
      </w:r>
    </w:p>
    <w:p>
      <w:pPr>
        <w:pStyle w:val="Heading1"/>
        <w:spacing w:after="150" w:before="300"/>
      </w:pPr>
      <w:r>
        <w:t xml:space="preserve">Question 1: Understand the Data</w:t>
      </w:r>
    </w:p>
    <w:p>
      <w:pPr>
        <w:spacing w:after="120"/>
      </w:pPr>
      <w:r>
        <w:t xml:space="preserve">a. The Groceries dataset contains 9,835 transactions.</w:t>
      </w:r>
    </w:p>
    <w:p>
      <w:pPr>
        <w:spacing w:after="120"/>
      </w:pPr>
      <w:r>
        <w:t xml:space="preserve">b. The dataset includes 169 different grocery items.</w:t>
      </w:r>
    </w:p>
    <w:p>
      <w:pPr>
        <w:spacing w:after="120"/>
      </w:pPr>
      <w:r>
        <w:t xml:space="preserve">c. The 10 most frequently purchased items are shown below, ranked by the number of transactions in which they appear.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500"/>
      </w:tblGrid>
      <w:tr>
        <w:trPr>
          <w:tblHeader/>
        </w:trPr>
        <w:tc>
          <w:tcPr>
            <w:tcW w:type="dxa" w:w="4500"/>
            <w:shd w:fill="2F5496" w:color="auto" w:val="clear"/>
          </w:tcPr>
          <w:p>
            <w:r>
              <w:rPr>
                <w:b/>
                <w:bCs/>
                <w:color w:val="FFFFFF"/>
                <w:sz w:val="18"/>
                <w:szCs w:val="18"/>
              </w:rPr>
              <w:t xml:space="preserve">Item</w:t>
            </w:r>
          </w:p>
        </w:tc>
        <w:tc>
          <w:tcPr>
            <w:tcW w:type="dxa" w:w="2500"/>
            <w:shd w:fill="2F5496" w:color="auto" w:val="clear"/>
          </w:tcPr>
          <w:p>
            <w:r>
              <w:rPr>
                <w:b/>
                <w:bCs/>
                <w:color w:val="FFFFFF"/>
                <w:sz w:val="18"/>
                <w:szCs w:val="18"/>
              </w:rPr>
              <w:t xml:space="preserve">Count</w:t>
            </w:r>
          </w:p>
        </w:tc>
        <w:tc>
          <w:tcPr>
            <w:tcW w:type="dxa" w:w="2500"/>
            <w:shd w:fill="2F5496" w:color="auto" w:val="clear"/>
          </w:tcPr>
          <w:p>
            <w:r>
              <w:rPr>
                <w:b/>
                <w:bCs/>
                <w:color w:val="FFFFFF"/>
                <w:sz w:val="18"/>
                <w:szCs w:val="18"/>
              </w:rPr>
              <w:t xml:space="preserve">Support</w:t>
            </w:r>
          </w:p>
        </w:tc>
      </w:tr>
      <w:tr>
        <w:tc>
          <w:tcPr>
            <w:tcW w:type="dxa" w:w="4500"/>
          </w:tcPr>
          <w:p>
            <w:r>
              <w:rPr>
                <w:sz w:val="18"/>
                <w:szCs w:val="18"/>
              </w:rPr>
              <w:t xml:space="preserve">whole milk</w:t>
            </w:r>
          </w:p>
        </w:tc>
        <w:tc>
          <w:tcPr>
            <w:tcW w:type="dxa" w:w="2500"/>
          </w:tcPr>
          <w:p>
            <w:r>
              <w:rPr>
                <w:sz w:val="18"/>
                <w:szCs w:val="18"/>
              </w:rPr>
              <w:t xml:space="preserve">2513</w:t>
            </w:r>
          </w:p>
        </w:tc>
        <w:tc>
          <w:tcPr>
            <w:tcW w:type="dxa" w:w="2500"/>
          </w:tcPr>
          <w:p>
            <w:r>
              <w:rPr>
                <w:sz w:val="18"/>
                <w:szCs w:val="18"/>
              </w:rPr>
              <w:t xml:space="preserve">0.2555</w:t>
            </w:r>
          </w:p>
        </w:tc>
      </w:tr>
      <w:tr>
        <w:tc>
          <w:tcPr>
            <w:tcW w:type="dxa" w:w="4500"/>
            <w:shd w:fill="F2F2F2" w:color="auto" w:val="clear"/>
          </w:tcPr>
          <w:p>
            <w:r>
              <w:rPr>
                <w:sz w:val="18"/>
                <w:szCs w:val="18"/>
              </w:rPr>
              <w:t xml:space="preserve">other vegetables</w:t>
            </w:r>
          </w:p>
        </w:tc>
        <w:tc>
          <w:tcPr>
            <w:tcW w:type="dxa" w:w="2500"/>
            <w:shd w:fill="F2F2F2" w:color="auto" w:val="clear"/>
          </w:tcPr>
          <w:p>
            <w:r>
              <w:rPr>
                <w:sz w:val="18"/>
                <w:szCs w:val="18"/>
              </w:rPr>
              <w:t xml:space="preserve">1903</w:t>
            </w:r>
          </w:p>
        </w:tc>
        <w:tc>
          <w:tcPr>
            <w:tcW w:type="dxa" w:w="2500"/>
            <w:shd w:fill="F2F2F2" w:color="auto" w:val="clear"/>
          </w:tcPr>
          <w:p>
            <w:r>
              <w:rPr>
                <w:sz w:val="18"/>
                <w:szCs w:val="18"/>
              </w:rPr>
              <w:t xml:space="preserve">0.1935</w:t>
            </w:r>
          </w:p>
        </w:tc>
      </w:tr>
      <w:tr>
        <w:tc>
          <w:tcPr>
            <w:tcW w:type="dxa" w:w="4500"/>
          </w:tcPr>
          <w:p>
            <w:r>
              <w:rPr>
                <w:sz w:val="18"/>
                <w:szCs w:val="18"/>
              </w:rPr>
              <w:t xml:space="preserve">rolls/buns</w:t>
            </w:r>
          </w:p>
        </w:tc>
        <w:tc>
          <w:tcPr>
            <w:tcW w:type="dxa" w:w="2500"/>
          </w:tcPr>
          <w:p>
            <w:r>
              <w:rPr>
                <w:sz w:val="18"/>
                <w:szCs w:val="18"/>
              </w:rPr>
              <w:t xml:space="preserve">1809</w:t>
            </w:r>
          </w:p>
        </w:tc>
        <w:tc>
          <w:tcPr>
            <w:tcW w:type="dxa" w:w="2500"/>
          </w:tcPr>
          <w:p>
            <w:r>
              <w:rPr>
                <w:sz w:val="18"/>
                <w:szCs w:val="18"/>
              </w:rPr>
              <w:t xml:space="preserve">0.1839</w:t>
            </w:r>
          </w:p>
        </w:tc>
      </w:tr>
      <w:tr>
        <w:tc>
          <w:tcPr>
            <w:tcW w:type="dxa" w:w="4500"/>
            <w:shd w:fill="F2F2F2" w:color="auto" w:val="clear"/>
          </w:tcPr>
          <w:p>
            <w:r>
              <w:rPr>
                <w:sz w:val="18"/>
                <w:szCs w:val="18"/>
              </w:rPr>
              <w:t xml:space="preserve">soda</w:t>
            </w:r>
          </w:p>
        </w:tc>
        <w:tc>
          <w:tcPr>
            <w:tcW w:type="dxa" w:w="2500"/>
            <w:shd w:fill="F2F2F2" w:color="auto" w:val="clear"/>
          </w:tcPr>
          <w:p>
            <w:r>
              <w:rPr>
                <w:sz w:val="18"/>
                <w:szCs w:val="18"/>
              </w:rPr>
              <w:t xml:space="preserve">1715</w:t>
            </w:r>
          </w:p>
        </w:tc>
        <w:tc>
          <w:tcPr>
            <w:tcW w:type="dxa" w:w="2500"/>
            <w:shd w:fill="F2F2F2" w:color="auto" w:val="clear"/>
          </w:tcPr>
          <w:p>
            <w:r>
              <w:rPr>
                <w:sz w:val="18"/>
                <w:szCs w:val="18"/>
              </w:rPr>
              <w:t xml:space="preserve">0.1744</w:t>
            </w:r>
          </w:p>
        </w:tc>
      </w:tr>
      <w:tr>
        <w:tc>
          <w:tcPr>
            <w:tcW w:type="dxa" w:w="4500"/>
          </w:tcPr>
          <w:p>
            <w:r>
              <w:rPr>
                <w:sz w:val="18"/>
                <w:szCs w:val="18"/>
              </w:rPr>
              <w:t xml:space="preserve">yogurt</w:t>
            </w:r>
          </w:p>
        </w:tc>
        <w:tc>
          <w:tcPr>
            <w:tcW w:type="dxa" w:w="2500"/>
          </w:tcPr>
          <w:p>
            <w:r>
              <w:rPr>
                <w:sz w:val="18"/>
                <w:szCs w:val="18"/>
              </w:rPr>
              <w:t xml:space="preserve">1372</w:t>
            </w:r>
          </w:p>
        </w:tc>
        <w:tc>
          <w:tcPr>
            <w:tcW w:type="dxa" w:w="2500"/>
          </w:tcPr>
          <w:p>
            <w:r>
              <w:rPr>
                <w:sz w:val="18"/>
                <w:szCs w:val="18"/>
              </w:rPr>
              <w:t xml:space="preserve">0.1395</w:t>
            </w:r>
          </w:p>
        </w:tc>
      </w:tr>
      <w:tr>
        <w:tc>
          <w:tcPr>
            <w:tcW w:type="dxa" w:w="4500"/>
            <w:shd w:fill="F2F2F2" w:color="auto" w:val="clear"/>
          </w:tcPr>
          <w:p>
            <w:r>
              <w:rPr>
                <w:sz w:val="18"/>
                <w:szCs w:val="18"/>
              </w:rPr>
              <w:t xml:space="preserve">bottled water</w:t>
            </w:r>
          </w:p>
        </w:tc>
        <w:tc>
          <w:tcPr>
            <w:tcW w:type="dxa" w:w="2500"/>
            <w:shd w:fill="F2F2F2" w:color="auto" w:val="clear"/>
          </w:tcPr>
          <w:p>
            <w:r>
              <w:rPr>
                <w:sz w:val="18"/>
                <w:szCs w:val="18"/>
              </w:rPr>
              <w:t xml:space="preserve">1087</w:t>
            </w:r>
          </w:p>
        </w:tc>
        <w:tc>
          <w:tcPr>
            <w:tcW w:type="dxa" w:w="2500"/>
            <w:shd w:fill="F2F2F2" w:color="auto" w:val="clear"/>
          </w:tcPr>
          <w:p>
            <w:r>
              <w:rPr>
                <w:sz w:val="18"/>
                <w:szCs w:val="18"/>
              </w:rPr>
              <w:t xml:space="preserve">0.1105</w:t>
            </w:r>
          </w:p>
        </w:tc>
      </w:tr>
      <w:tr>
        <w:tc>
          <w:tcPr>
            <w:tcW w:type="dxa" w:w="4500"/>
          </w:tcPr>
          <w:p>
            <w:r>
              <w:rPr>
                <w:sz w:val="18"/>
                <w:szCs w:val="18"/>
              </w:rPr>
              <w:t xml:space="preserve">root vegetables</w:t>
            </w:r>
          </w:p>
        </w:tc>
        <w:tc>
          <w:tcPr>
            <w:tcW w:type="dxa" w:w="2500"/>
          </w:tcPr>
          <w:p>
            <w:r>
              <w:rPr>
                <w:sz w:val="18"/>
                <w:szCs w:val="18"/>
              </w:rPr>
              <w:t xml:space="preserve">1072</w:t>
            </w:r>
          </w:p>
        </w:tc>
        <w:tc>
          <w:tcPr>
            <w:tcW w:type="dxa" w:w="2500"/>
          </w:tcPr>
          <w:p>
            <w:r>
              <w:rPr>
                <w:sz w:val="18"/>
                <w:szCs w:val="18"/>
              </w:rPr>
              <w:t xml:space="preserve">0.1090</w:t>
            </w:r>
          </w:p>
        </w:tc>
      </w:tr>
      <w:tr>
        <w:tc>
          <w:tcPr>
            <w:tcW w:type="dxa" w:w="4500"/>
            <w:shd w:fill="F2F2F2" w:color="auto" w:val="clear"/>
          </w:tcPr>
          <w:p>
            <w:r>
              <w:rPr>
                <w:sz w:val="18"/>
                <w:szCs w:val="18"/>
              </w:rPr>
              <w:t xml:space="preserve">tropical fruit</w:t>
            </w:r>
          </w:p>
        </w:tc>
        <w:tc>
          <w:tcPr>
            <w:tcW w:type="dxa" w:w="2500"/>
            <w:shd w:fill="F2F2F2" w:color="auto" w:val="clear"/>
          </w:tcPr>
          <w:p>
            <w:r>
              <w:rPr>
                <w:sz w:val="18"/>
                <w:szCs w:val="18"/>
              </w:rPr>
              <w:t xml:space="preserve">1032</w:t>
            </w:r>
          </w:p>
        </w:tc>
        <w:tc>
          <w:tcPr>
            <w:tcW w:type="dxa" w:w="2500"/>
            <w:shd w:fill="F2F2F2" w:color="auto" w:val="clear"/>
          </w:tcPr>
          <w:p>
            <w:r>
              <w:rPr>
                <w:sz w:val="18"/>
                <w:szCs w:val="18"/>
              </w:rPr>
              <w:t xml:space="preserve">0.1049</w:t>
            </w:r>
          </w:p>
        </w:tc>
      </w:tr>
      <w:tr>
        <w:tc>
          <w:tcPr>
            <w:tcW w:type="dxa" w:w="4500"/>
          </w:tcPr>
          <w:p>
            <w:r>
              <w:rPr>
                <w:sz w:val="18"/>
                <w:szCs w:val="18"/>
              </w:rPr>
              <w:t xml:space="preserve">shopping bags</w:t>
            </w:r>
          </w:p>
        </w:tc>
        <w:tc>
          <w:tcPr>
            <w:tcW w:type="dxa" w:w="2500"/>
          </w:tcPr>
          <w:p>
            <w:r>
              <w:rPr>
                <w:sz w:val="18"/>
                <w:szCs w:val="18"/>
              </w:rPr>
              <w:t xml:space="preserve">969</w:t>
            </w:r>
          </w:p>
        </w:tc>
        <w:tc>
          <w:tcPr>
            <w:tcW w:type="dxa" w:w="2500"/>
          </w:tcPr>
          <w:p>
            <w:r>
              <w:rPr>
                <w:sz w:val="18"/>
                <w:szCs w:val="18"/>
              </w:rPr>
              <w:t xml:space="preserve">0.0985</w:t>
            </w:r>
          </w:p>
        </w:tc>
      </w:tr>
      <w:tr>
        <w:tc>
          <w:tcPr>
            <w:tcW w:type="dxa" w:w="4500"/>
            <w:shd w:fill="F2F2F2" w:color="auto" w:val="clear"/>
          </w:tcPr>
          <w:p>
            <w:r>
              <w:rPr>
                <w:sz w:val="18"/>
                <w:szCs w:val="18"/>
              </w:rPr>
              <w:t xml:space="preserve">sausage</w:t>
            </w:r>
          </w:p>
        </w:tc>
        <w:tc>
          <w:tcPr>
            <w:tcW w:type="dxa" w:w="2500"/>
            <w:shd w:fill="F2F2F2" w:color="auto" w:val="clear"/>
          </w:tcPr>
          <w:p>
            <w:r>
              <w:rPr>
                <w:sz w:val="18"/>
                <w:szCs w:val="18"/>
              </w:rPr>
              <w:t xml:space="preserve">924</w:t>
            </w:r>
          </w:p>
        </w:tc>
        <w:tc>
          <w:tcPr>
            <w:tcW w:type="dxa" w:w="2500"/>
            <w:shd w:fill="F2F2F2" w:color="auto" w:val="clear"/>
          </w:tcPr>
          <w:p>
            <w:r>
              <w:rPr>
                <w:sz w:val="18"/>
                <w:szCs w:val="18"/>
              </w:rPr>
              <w:t xml:space="preserve">0.0940</w:t>
            </w:r>
          </w:p>
        </w:tc>
      </w:tr>
    </w:tbl>
    <w:p>
      <w:pPr>
        <w:spacing w:after="150"/>
      </w:pPr>
    </w:p>
    <w:p>
      <w:pPr>
        <w:spacing w:after="20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952750"/>
                    </a:xfrm>
                    <a:prstGeom prst="rect">
                      <a:avLst/>
                    </a:prstGeom>
                  </pic:spPr>
                </pic:pic>
              </a:graphicData>
            </a:graphic>
          </wp:inline>
        </w:drawing>
      </w:r>
    </w:p>
    <w:p>
      <w:pPr>
        <w:pStyle w:val="Heading1"/>
        <w:spacing w:after="150" w:before="300"/>
      </w:pPr>
      <w:r>
        <w:t xml:space="preserve">Question 2: Frequent Itemsets</w:t>
      </w:r>
    </w:p>
    <w:p>
      <w:pPr>
        <w:spacing w:after="120"/>
      </w:pPr>
      <w:r>
        <w:t xml:space="preserve">a-b. Using the Apriori algorithm with a minimum support threshold of 1%, the following frequent itemsets of two or more products were identified (top 15 shown, sorted by support):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0"/>
        <w:gridCol w:w="3000"/>
      </w:tblGrid>
      <w:tr>
        <w:trPr>
          <w:tblHeader/>
        </w:trPr>
        <w:tc>
          <w:tcPr>
            <w:tcW w:type="dxa" w:w="6500"/>
            <w:shd w:fill="2F5496" w:color="auto" w:val="clear"/>
          </w:tcPr>
          <w:p>
            <w:r>
              <w:rPr>
                <w:b/>
                <w:bCs/>
                <w:color w:val="FFFFFF"/>
                <w:sz w:val="18"/>
                <w:szCs w:val="18"/>
              </w:rPr>
              <w:t xml:space="preserve">Itemset</w:t>
            </w:r>
          </w:p>
        </w:tc>
        <w:tc>
          <w:tcPr>
            <w:tcW w:type="dxa" w:w="3000"/>
            <w:shd w:fill="2F5496" w:color="auto" w:val="clear"/>
          </w:tcPr>
          <w:p>
            <w:r>
              <w:rPr>
                <w:b/>
                <w:bCs/>
                <w:color w:val="FFFFFF"/>
                <w:sz w:val="18"/>
                <w:szCs w:val="18"/>
              </w:rPr>
              <w:t xml:space="preserve">Support</w:t>
            </w:r>
          </w:p>
        </w:tc>
      </w:tr>
      <w:tr>
        <w:tc>
          <w:tcPr>
            <w:tcW w:type="dxa" w:w="6500"/>
          </w:tcPr>
          <w:p>
            <w:r>
              <w:rPr>
                <w:sz w:val="18"/>
                <w:szCs w:val="18"/>
              </w:rPr>
              <w:t xml:space="preserve">other vegetables, whole milk</w:t>
            </w:r>
          </w:p>
        </w:tc>
        <w:tc>
          <w:tcPr>
            <w:tcW w:type="dxa" w:w="3000"/>
          </w:tcPr>
          <w:p>
            <w:r>
              <w:rPr>
                <w:sz w:val="18"/>
                <w:szCs w:val="18"/>
              </w:rPr>
              <w:t xml:space="preserve">0.0748</w:t>
            </w:r>
          </w:p>
        </w:tc>
      </w:tr>
      <w:tr>
        <w:tc>
          <w:tcPr>
            <w:tcW w:type="dxa" w:w="6500"/>
            <w:shd w:fill="F2F2F2" w:color="auto" w:val="clear"/>
          </w:tcPr>
          <w:p>
            <w:r>
              <w:rPr>
                <w:sz w:val="18"/>
                <w:szCs w:val="18"/>
              </w:rPr>
              <w:t xml:space="preserve">rolls/buns, whole milk</w:t>
            </w:r>
          </w:p>
        </w:tc>
        <w:tc>
          <w:tcPr>
            <w:tcW w:type="dxa" w:w="3000"/>
            <w:shd w:fill="F2F2F2" w:color="auto" w:val="clear"/>
          </w:tcPr>
          <w:p>
            <w:r>
              <w:rPr>
                <w:sz w:val="18"/>
                <w:szCs w:val="18"/>
              </w:rPr>
              <w:t xml:space="preserve">0.0566</w:t>
            </w:r>
          </w:p>
        </w:tc>
      </w:tr>
      <w:tr>
        <w:tc>
          <w:tcPr>
            <w:tcW w:type="dxa" w:w="6500"/>
          </w:tcPr>
          <w:p>
            <w:r>
              <w:rPr>
                <w:sz w:val="18"/>
                <w:szCs w:val="18"/>
              </w:rPr>
              <w:t xml:space="preserve">whole milk, yogurt</w:t>
            </w:r>
          </w:p>
        </w:tc>
        <w:tc>
          <w:tcPr>
            <w:tcW w:type="dxa" w:w="3000"/>
          </w:tcPr>
          <w:p>
            <w:r>
              <w:rPr>
                <w:sz w:val="18"/>
                <w:szCs w:val="18"/>
              </w:rPr>
              <w:t xml:space="preserve">0.0560</w:t>
            </w:r>
          </w:p>
        </w:tc>
      </w:tr>
      <w:tr>
        <w:tc>
          <w:tcPr>
            <w:tcW w:type="dxa" w:w="6500"/>
            <w:shd w:fill="F2F2F2" w:color="auto" w:val="clear"/>
          </w:tcPr>
          <w:p>
            <w:r>
              <w:rPr>
                <w:sz w:val="18"/>
                <w:szCs w:val="18"/>
              </w:rPr>
              <w:t xml:space="preserve">root vegetables, whole milk</w:t>
            </w:r>
          </w:p>
        </w:tc>
        <w:tc>
          <w:tcPr>
            <w:tcW w:type="dxa" w:w="3000"/>
            <w:shd w:fill="F2F2F2" w:color="auto" w:val="clear"/>
          </w:tcPr>
          <w:p>
            <w:r>
              <w:rPr>
                <w:sz w:val="18"/>
                <w:szCs w:val="18"/>
              </w:rPr>
              <w:t xml:space="preserve">0.0489</w:t>
            </w:r>
          </w:p>
        </w:tc>
      </w:tr>
      <w:tr>
        <w:tc>
          <w:tcPr>
            <w:tcW w:type="dxa" w:w="6500"/>
          </w:tcPr>
          <w:p>
            <w:r>
              <w:rPr>
                <w:sz w:val="18"/>
                <w:szCs w:val="18"/>
              </w:rPr>
              <w:t xml:space="preserve">other vegetables, root vegetables</w:t>
            </w:r>
          </w:p>
        </w:tc>
        <w:tc>
          <w:tcPr>
            <w:tcW w:type="dxa" w:w="3000"/>
          </w:tcPr>
          <w:p>
            <w:r>
              <w:rPr>
                <w:sz w:val="18"/>
                <w:szCs w:val="18"/>
              </w:rPr>
              <w:t xml:space="preserve">0.0474</w:t>
            </w:r>
          </w:p>
        </w:tc>
      </w:tr>
      <w:tr>
        <w:tc>
          <w:tcPr>
            <w:tcW w:type="dxa" w:w="6500"/>
            <w:shd w:fill="F2F2F2" w:color="auto" w:val="clear"/>
          </w:tcPr>
          <w:p>
            <w:r>
              <w:rPr>
                <w:sz w:val="18"/>
                <w:szCs w:val="18"/>
              </w:rPr>
              <w:t xml:space="preserve">other vegetables, yogurt</w:t>
            </w:r>
          </w:p>
        </w:tc>
        <w:tc>
          <w:tcPr>
            <w:tcW w:type="dxa" w:w="3000"/>
            <w:shd w:fill="F2F2F2" w:color="auto" w:val="clear"/>
          </w:tcPr>
          <w:p>
            <w:r>
              <w:rPr>
                <w:sz w:val="18"/>
                <w:szCs w:val="18"/>
              </w:rPr>
              <w:t xml:space="preserve">0.0434</w:t>
            </w:r>
          </w:p>
        </w:tc>
      </w:tr>
      <w:tr>
        <w:tc>
          <w:tcPr>
            <w:tcW w:type="dxa" w:w="6500"/>
          </w:tcPr>
          <w:p>
            <w:r>
              <w:rPr>
                <w:sz w:val="18"/>
                <w:szCs w:val="18"/>
              </w:rPr>
              <w:t xml:space="preserve">other vegetables, rolls/buns</w:t>
            </w:r>
          </w:p>
        </w:tc>
        <w:tc>
          <w:tcPr>
            <w:tcW w:type="dxa" w:w="3000"/>
          </w:tcPr>
          <w:p>
            <w:r>
              <w:rPr>
                <w:sz w:val="18"/>
                <w:szCs w:val="18"/>
              </w:rPr>
              <w:t xml:space="preserve">0.0426</w:t>
            </w:r>
          </w:p>
        </w:tc>
      </w:tr>
      <w:tr>
        <w:tc>
          <w:tcPr>
            <w:tcW w:type="dxa" w:w="6500"/>
            <w:shd w:fill="F2F2F2" w:color="auto" w:val="clear"/>
          </w:tcPr>
          <w:p>
            <w:r>
              <w:rPr>
                <w:sz w:val="18"/>
                <w:szCs w:val="18"/>
              </w:rPr>
              <w:t xml:space="preserve">tropical fruit, whole milk</w:t>
            </w:r>
          </w:p>
        </w:tc>
        <w:tc>
          <w:tcPr>
            <w:tcW w:type="dxa" w:w="3000"/>
            <w:shd w:fill="F2F2F2" w:color="auto" w:val="clear"/>
          </w:tcPr>
          <w:p>
            <w:r>
              <w:rPr>
                <w:sz w:val="18"/>
                <w:szCs w:val="18"/>
              </w:rPr>
              <w:t xml:space="preserve">0.0423</w:t>
            </w:r>
          </w:p>
        </w:tc>
      </w:tr>
      <w:tr>
        <w:tc>
          <w:tcPr>
            <w:tcW w:type="dxa" w:w="6500"/>
          </w:tcPr>
          <w:p>
            <w:r>
              <w:rPr>
                <w:sz w:val="18"/>
                <w:szCs w:val="18"/>
              </w:rPr>
              <w:t xml:space="preserve">soda, whole milk</w:t>
            </w:r>
          </w:p>
        </w:tc>
        <w:tc>
          <w:tcPr>
            <w:tcW w:type="dxa" w:w="3000"/>
          </w:tcPr>
          <w:p>
            <w:r>
              <w:rPr>
                <w:sz w:val="18"/>
                <w:szCs w:val="18"/>
              </w:rPr>
              <w:t xml:space="preserve">0.0401</w:t>
            </w:r>
          </w:p>
        </w:tc>
      </w:tr>
      <w:tr>
        <w:tc>
          <w:tcPr>
            <w:tcW w:type="dxa" w:w="6500"/>
            <w:shd w:fill="F2F2F2" w:color="auto" w:val="clear"/>
          </w:tcPr>
          <w:p>
            <w:r>
              <w:rPr>
                <w:sz w:val="18"/>
                <w:szCs w:val="18"/>
              </w:rPr>
              <w:t xml:space="preserve">rolls/buns, soda</w:t>
            </w:r>
          </w:p>
        </w:tc>
        <w:tc>
          <w:tcPr>
            <w:tcW w:type="dxa" w:w="3000"/>
            <w:shd w:fill="F2F2F2" w:color="auto" w:val="clear"/>
          </w:tcPr>
          <w:p>
            <w:r>
              <w:rPr>
                <w:sz w:val="18"/>
                <w:szCs w:val="18"/>
              </w:rPr>
              <w:t xml:space="preserve">0.0383</w:t>
            </w:r>
          </w:p>
        </w:tc>
      </w:tr>
      <w:tr>
        <w:tc>
          <w:tcPr>
            <w:tcW w:type="dxa" w:w="6500"/>
          </w:tcPr>
          <w:p>
            <w:r>
              <w:rPr>
                <w:sz w:val="18"/>
                <w:szCs w:val="18"/>
              </w:rPr>
              <w:t xml:space="preserve">other vegetables, tropical fruit</w:t>
            </w:r>
          </w:p>
        </w:tc>
        <w:tc>
          <w:tcPr>
            <w:tcW w:type="dxa" w:w="3000"/>
          </w:tcPr>
          <w:p>
            <w:r>
              <w:rPr>
                <w:sz w:val="18"/>
                <w:szCs w:val="18"/>
              </w:rPr>
              <w:t xml:space="preserve">0.0359</w:t>
            </w:r>
          </w:p>
        </w:tc>
      </w:tr>
      <w:tr>
        <w:tc>
          <w:tcPr>
            <w:tcW w:type="dxa" w:w="6500"/>
            <w:shd w:fill="F2F2F2" w:color="auto" w:val="clear"/>
          </w:tcPr>
          <w:p>
            <w:r>
              <w:rPr>
                <w:sz w:val="18"/>
                <w:szCs w:val="18"/>
              </w:rPr>
              <w:t xml:space="preserve">rolls/buns, yogurt</w:t>
            </w:r>
          </w:p>
        </w:tc>
        <w:tc>
          <w:tcPr>
            <w:tcW w:type="dxa" w:w="3000"/>
            <w:shd w:fill="F2F2F2" w:color="auto" w:val="clear"/>
          </w:tcPr>
          <w:p>
            <w:r>
              <w:rPr>
                <w:sz w:val="18"/>
                <w:szCs w:val="18"/>
              </w:rPr>
              <w:t xml:space="preserve">0.0344</w:t>
            </w:r>
          </w:p>
        </w:tc>
      </w:tr>
      <w:tr>
        <w:tc>
          <w:tcPr>
            <w:tcW w:type="dxa" w:w="6500"/>
          </w:tcPr>
          <w:p>
            <w:r>
              <w:rPr>
                <w:sz w:val="18"/>
                <w:szCs w:val="18"/>
              </w:rPr>
              <w:t xml:space="preserve">bottled water, whole milk</w:t>
            </w:r>
          </w:p>
        </w:tc>
        <w:tc>
          <w:tcPr>
            <w:tcW w:type="dxa" w:w="3000"/>
          </w:tcPr>
          <w:p>
            <w:r>
              <w:rPr>
                <w:sz w:val="18"/>
                <w:szCs w:val="18"/>
              </w:rPr>
              <w:t xml:space="preserve">0.0344</w:t>
            </w:r>
          </w:p>
        </w:tc>
      </w:tr>
      <w:tr>
        <w:tc>
          <w:tcPr>
            <w:tcW w:type="dxa" w:w="6500"/>
            <w:shd w:fill="F2F2F2" w:color="auto" w:val="clear"/>
          </w:tcPr>
          <w:p>
            <w:r>
              <w:rPr>
                <w:sz w:val="18"/>
                <w:szCs w:val="18"/>
              </w:rPr>
              <w:t xml:space="preserve">pastry, whole milk</w:t>
            </w:r>
          </w:p>
        </w:tc>
        <w:tc>
          <w:tcPr>
            <w:tcW w:type="dxa" w:w="3000"/>
            <w:shd w:fill="F2F2F2" w:color="auto" w:val="clear"/>
          </w:tcPr>
          <w:p>
            <w:r>
              <w:rPr>
                <w:sz w:val="18"/>
                <w:szCs w:val="18"/>
              </w:rPr>
              <w:t xml:space="preserve">0.0332</w:t>
            </w:r>
          </w:p>
        </w:tc>
      </w:tr>
      <w:tr>
        <w:tc>
          <w:tcPr>
            <w:tcW w:type="dxa" w:w="6500"/>
          </w:tcPr>
          <w:p>
            <w:r>
              <w:rPr>
                <w:sz w:val="18"/>
                <w:szCs w:val="18"/>
              </w:rPr>
              <w:t xml:space="preserve">other vegetables, soda</w:t>
            </w:r>
          </w:p>
        </w:tc>
        <w:tc>
          <w:tcPr>
            <w:tcW w:type="dxa" w:w="3000"/>
          </w:tcPr>
          <w:p>
            <w:r>
              <w:rPr>
                <w:sz w:val="18"/>
                <w:szCs w:val="18"/>
              </w:rPr>
              <w:t xml:space="preserve">0.0327</w:t>
            </w:r>
          </w:p>
        </w:tc>
      </w:tr>
    </w:tbl>
    <w:p>
      <w:pPr>
        <w:spacing w:after="150"/>
      </w:pPr>
    </w:p>
    <w:p>
      <w:pPr>
        <w:pStyle w:val="Heading2"/>
        <w:spacing w:after="100" w:before="200"/>
      </w:pPr>
      <w:r>
        <w:t xml:space="preserve">c. Highest-support itemset</w:t>
      </w:r>
    </w:p>
    <w:p>
      <w:pPr>
        <w:spacing w:after="120"/>
      </w:pPr>
      <w:r>
        <w:t xml:space="preserve">{other vegetables, whole milk} has the highest support (0.0748), meaning it appears together in about 7.5% of all transactions.</w:t>
      </w:r>
    </w:p>
    <w:p>
      <w:pPr>
        <w:pStyle w:val="Heading2"/>
        <w:spacing w:after="100" w:before="200"/>
      </w:pPr>
      <w:r>
        <w:t xml:space="preserve">d. Interpretation of support</w:t>
      </w:r>
    </w:p>
    <w:p>
      <w:pPr>
        <w:spacing w:after="120"/>
      </w:pPr>
      <w:r>
        <w:t xml:space="preserve">Support measures how frequently an itemset occurs across all transactions. A higher support value indicates that a larger proportion of customers buy that combination of items, so these are the combinations most worth acting on because they affect many baskets. Low-support itemsets, even if interesting, only apply to a small number of customers.</w:t>
      </w:r>
    </w:p>
    <w:p>
      <w:pPr>
        <w:pStyle w:val="Heading1"/>
        <w:spacing w:after="150" w:before="300"/>
      </w:pPr>
      <w:r>
        <w:t xml:space="preserve">Question 3: Association Rules</w:t>
      </w:r>
    </w:p>
    <w:p>
      <w:pPr>
        <w:spacing w:after="120"/>
      </w:pPr>
      <w:r>
        <w:t xml:space="preserve">Rules were generated from the frequent itemsets using a minimum confidence threshold of 0.2, producing 231 rules in total. The top 10 rules (ranked by lift) are shown below.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1500"/>
        <w:gridCol w:w="1600"/>
      </w:tblGrid>
      <w:tr>
        <w:trPr>
          <w:tblHeader/>
        </w:trPr>
        <w:tc>
          <w:tcPr>
            <w:tcW w:type="dxa" w:w="3200"/>
            <w:shd w:fill="2F5496" w:color="auto" w:val="clear"/>
          </w:tcPr>
          <w:p>
            <w:r>
              <w:rPr>
                <w:b/>
                <w:bCs/>
                <w:color w:val="FFFFFF"/>
                <w:sz w:val="18"/>
                <w:szCs w:val="18"/>
              </w:rPr>
              <w:t xml:space="preserve">Antecedent</w:t>
            </w:r>
          </w:p>
        </w:tc>
        <w:tc>
          <w:tcPr>
            <w:tcW w:type="dxa" w:w="2200"/>
            <w:shd w:fill="2F5496" w:color="auto" w:val="clear"/>
          </w:tcPr>
          <w:p>
            <w:r>
              <w:rPr>
                <w:b/>
                <w:bCs/>
                <w:color w:val="FFFFFF"/>
                <w:sz w:val="18"/>
                <w:szCs w:val="18"/>
              </w:rPr>
              <w:t xml:space="preserve">Consequent</w:t>
            </w:r>
          </w:p>
        </w:tc>
        <w:tc>
          <w:tcPr>
            <w:tcW w:type="dxa" w:w="1500"/>
            <w:shd w:fill="2F5496" w:color="auto" w:val="clear"/>
          </w:tcPr>
          <w:p>
            <w:r>
              <w:rPr>
                <w:b/>
                <w:bCs/>
                <w:color w:val="FFFFFF"/>
                <w:sz w:val="18"/>
                <w:szCs w:val="18"/>
              </w:rPr>
              <w:t xml:space="preserve">Support</w:t>
            </w:r>
          </w:p>
        </w:tc>
        <w:tc>
          <w:tcPr>
            <w:tcW w:type="dxa" w:w="1500"/>
            <w:shd w:fill="2F5496" w:color="auto" w:val="clear"/>
          </w:tcPr>
          <w:p>
            <w:r>
              <w:rPr>
                <w:b/>
                <w:bCs/>
                <w:color w:val="FFFFFF"/>
                <w:sz w:val="18"/>
                <w:szCs w:val="18"/>
              </w:rPr>
              <w:t xml:space="preserve">Confidence</w:t>
            </w:r>
          </w:p>
        </w:tc>
        <w:tc>
          <w:tcPr>
            <w:tcW w:type="dxa" w:w="1600"/>
            <w:shd w:fill="2F5496" w:color="auto" w:val="clear"/>
          </w:tcPr>
          <w:p>
            <w:r>
              <w:rPr>
                <w:b/>
                <w:bCs/>
                <w:color w:val="FFFFFF"/>
                <w:sz w:val="18"/>
                <w:szCs w:val="18"/>
              </w:rPr>
              <w:t xml:space="preserve">Lift</w:t>
            </w:r>
          </w:p>
        </w:tc>
      </w:tr>
      <w:tr>
        <w:tc>
          <w:tcPr>
            <w:tcW w:type="dxa" w:w="3200"/>
          </w:tcPr>
          <w:p>
            <w:r>
              <w:rPr>
                <w:sz w:val="18"/>
                <w:szCs w:val="18"/>
              </w:rPr>
              <w:t xml:space="preserve">citrus fruit, other vegetables</w:t>
            </w:r>
          </w:p>
        </w:tc>
        <w:tc>
          <w:tcPr>
            <w:tcW w:type="dxa" w:w="2200"/>
          </w:tcPr>
          <w:p>
            <w:r>
              <w:rPr>
                <w:sz w:val="18"/>
                <w:szCs w:val="18"/>
              </w:rPr>
              <w:t xml:space="preserve">root vegetables</w:t>
            </w:r>
          </w:p>
        </w:tc>
        <w:tc>
          <w:tcPr>
            <w:tcW w:type="dxa" w:w="1500"/>
          </w:tcPr>
          <w:p>
            <w:r>
              <w:rPr>
                <w:sz w:val="18"/>
                <w:szCs w:val="18"/>
              </w:rPr>
              <w:t xml:space="preserve">0.0104</w:t>
            </w:r>
          </w:p>
        </w:tc>
        <w:tc>
          <w:tcPr>
            <w:tcW w:type="dxa" w:w="1500"/>
          </w:tcPr>
          <w:p>
            <w:r>
              <w:rPr>
                <w:sz w:val="18"/>
                <w:szCs w:val="18"/>
              </w:rPr>
              <w:t xml:space="preserve">0.3592</w:t>
            </w:r>
          </w:p>
        </w:tc>
        <w:tc>
          <w:tcPr>
            <w:tcW w:type="dxa" w:w="1600"/>
          </w:tcPr>
          <w:p>
            <w:r>
              <w:rPr>
                <w:sz w:val="18"/>
                <w:szCs w:val="18"/>
              </w:rPr>
              <w:t xml:space="preserve">3.2950</w:t>
            </w:r>
          </w:p>
        </w:tc>
      </w:tr>
      <w:tr>
        <w:tc>
          <w:tcPr>
            <w:tcW w:type="dxa" w:w="3200"/>
            <w:shd w:fill="F2F2F2" w:color="auto" w:val="clear"/>
          </w:tcPr>
          <w:p>
            <w:r>
              <w:rPr>
                <w:sz w:val="18"/>
                <w:szCs w:val="18"/>
              </w:rPr>
              <w:t xml:space="preserve">other vegetables, yogurt</w:t>
            </w:r>
          </w:p>
        </w:tc>
        <w:tc>
          <w:tcPr>
            <w:tcW w:type="dxa" w:w="2200"/>
            <w:shd w:fill="F2F2F2" w:color="auto" w:val="clear"/>
          </w:tcPr>
          <w:p>
            <w:r>
              <w:rPr>
                <w:sz w:val="18"/>
                <w:szCs w:val="18"/>
              </w:rPr>
              <w:t xml:space="preserve">whipped/sour cream</w:t>
            </w:r>
          </w:p>
        </w:tc>
        <w:tc>
          <w:tcPr>
            <w:tcW w:type="dxa" w:w="1500"/>
            <w:shd w:fill="F2F2F2" w:color="auto" w:val="clear"/>
          </w:tcPr>
          <w:p>
            <w:r>
              <w:rPr>
                <w:sz w:val="18"/>
                <w:szCs w:val="18"/>
              </w:rPr>
              <w:t xml:space="preserve">0.0102</w:t>
            </w:r>
          </w:p>
        </w:tc>
        <w:tc>
          <w:tcPr>
            <w:tcW w:type="dxa" w:w="1500"/>
            <w:shd w:fill="F2F2F2" w:color="auto" w:val="clear"/>
          </w:tcPr>
          <w:p>
            <w:r>
              <w:rPr>
                <w:sz w:val="18"/>
                <w:szCs w:val="18"/>
              </w:rPr>
              <w:t xml:space="preserve">0.2342</w:t>
            </w:r>
          </w:p>
        </w:tc>
        <w:tc>
          <w:tcPr>
            <w:tcW w:type="dxa" w:w="1600"/>
            <w:shd w:fill="F2F2F2" w:color="auto" w:val="clear"/>
          </w:tcPr>
          <w:p>
            <w:r>
              <w:rPr>
                <w:sz w:val="18"/>
                <w:szCs w:val="18"/>
              </w:rPr>
              <w:t xml:space="preserve">3.2671</w:t>
            </w:r>
          </w:p>
        </w:tc>
      </w:tr>
      <w:tr>
        <w:tc>
          <w:tcPr>
            <w:tcW w:type="dxa" w:w="3200"/>
          </w:tcPr>
          <w:p>
            <w:r>
              <w:rPr>
                <w:sz w:val="18"/>
                <w:szCs w:val="18"/>
              </w:rPr>
              <w:t xml:space="preserve">other vegetables, tropical fruit</w:t>
            </w:r>
          </w:p>
        </w:tc>
        <w:tc>
          <w:tcPr>
            <w:tcW w:type="dxa" w:w="2200"/>
          </w:tcPr>
          <w:p>
            <w:r>
              <w:rPr>
                <w:sz w:val="18"/>
                <w:szCs w:val="18"/>
              </w:rPr>
              <w:t xml:space="preserve">root vegetables</w:t>
            </w:r>
          </w:p>
        </w:tc>
        <w:tc>
          <w:tcPr>
            <w:tcW w:type="dxa" w:w="1500"/>
          </w:tcPr>
          <w:p>
            <w:r>
              <w:rPr>
                <w:sz w:val="18"/>
                <w:szCs w:val="18"/>
              </w:rPr>
              <w:t xml:space="preserve">0.0123</w:t>
            </w:r>
          </w:p>
        </w:tc>
        <w:tc>
          <w:tcPr>
            <w:tcW w:type="dxa" w:w="1500"/>
          </w:tcPr>
          <w:p>
            <w:r>
              <w:rPr>
                <w:sz w:val="18"/>
                <w:szCs w:val="18"/>
              </w:rPr>
              <w:t xml:space="preserve">0.3428</w:t>
            </w:r>
          </w:p>
        </w:tc>
        <w:tc>
          <w:tcPr>
            <w:tcW w:type="dxa" w:w="1600"/>
          </w:tcPr>
          <w:p>
            <w:r>
              <w:rPr>
                <w:sz w:val="18"/>
                <w:szCs w:val="18"/>
              </w:rPr>
              <w:t xml:space="preserve">3.1448</w:t>
            </w:r>
          </w:p>
        </w:tc>
      </w:tr>
      <w:tr>
        <w:tc>
          <w:tcPr>
            <w:tcW w:type="dxa" w:w="3200"/>
            <w:shd w:fill="F2F2F2" w:color="auto" w:val="clear"/>
          </w:tcPr>
          <w:p>
            <w:r>
              <w:rPr>
                <w:sz w:val="18"/>
                <w:szCs w:val="18"/>
              </w:rPr>
              <w:t xml:space="preserve">beef</w:t>
            </w:r>
          </w:p>
        </w:tc>
        <w:tc>
          <w:tcPr>
            <w:tcW w:type="dxa" w:w="2200"/>
            <w:shd w:fill="F2F2F2" w:color="auto" w:val="clear"/>
          </w:tcPr>
          <w:p>
            <w:r>
              <w:rPr>
                <w:sz w:val="18"/>
                <w:szCs w:val="18"/>
              </w:rPr>
              <w:t xml:space="preserve">root vegetables</w:t>
            </w:r>
          </w:p>
        </w:tc>
        <w:tc>
          <w:tcPr>
            <w:tcW w:type="dxa" w:w="1500"/>
            <w:shd w:fill="F2F2F2" w:color="auto" w:val="clear"/>
          </w:tcPr>
          <w:p>
            <w:r>
              <w:rPr>
                <w:sz w:val="18"/>
                <w:szCs w:val="18"/>
              </w:rPr>
              <w:t xml:space="preserve">0.0174</w:t>
            </w:r>
          </w:p>
        </w:tc>
        <w:tc>
          <w:tcPr>
            <w:tcW w:type="dxa" w:w="1500"/>
            <w:shd w:fill="F2F2F2" w:color="auto" w:val="clear"/>
          </w:tcPr>
          <w:p>
            <w:r>
              <w:rPr>
                <w:sz w:val="18"/>
                <w:szCs w:val="18"/>
              </w:rPr>
              <w:t xml:space="preserve">0.3314</w:t>
            </w:r>
          </w:p>
        </w:tc>
        <w:tc>
          <w:tcPr>
            <w:tcW w:type="dxa" w:w="1600"/>
            <w:shd w:fill="F2F2F2" w:color="auto" w:val="clear"/>
          </w:tcPr>
          <w:p>
            <w:r>
              <w:rPr>
                <w:sz w:val="18"/>
                <w:szCs w:val="18"/>
              </w:rPr>
              <w:t xml:space="preserve">3.0404</w:t>
            </w:r>
          </w:p>
        </w:tc>
      </w:tr>
      <w:tr>
        <w:tc>
          <w:tcPr>
            <w:tcW w:type="dxa" w:w="3200"/>
          </w:tcPr>
          <w:p>
            <w:r>
              <w:rPr>
                <w:sz w:val="18"/>
                <w:szCs w:val="18"/>
              </w:rPr>
              <w:t xml:space="preserve">citrus fruit, root vegetables</w:t>
            </w:r>
          </w:p>
        </w:tc>
        <w:tc>
          <w:tcPr>
            <w:tcW w:type="dxa" w:w="2200"/>
          </w:tcPr>
          <w:p>
            <w:r>
              <w:rPr>
                <w:sz w:val="18"/>
                <w:szCs w:val="18"/>
              </w:rPr>
              <w:t xml:space="preserve">other vegetables</w:t>
            </w:r>
          </w:p>
        </w:tc>
        <w:tc>
          <w:tcPr>
            <w:tcW w:type="dxa" w:w="1500"/>
          </w:tcPr>
          <w:p>
            <w:r>
              <w:rPr>
                <w:sz w:val="18"/>
                <w:szCs w:val="18"/>
              </w:rPr>
              <w:t xml:space="preserve">0.0104</w:t>
            </w:r>
          </w:p>
        </w:tc>
        <w:tc>
          <w:tcPr>
            <w:tcW w:type="dxa" w:w="1500"/>
          </w:tcPr>
          <w:p>
            <w:r>
              <w:rPr>
                <w:sz w:val="18"/>
                <w:szCs w:val="18"/>
              </w:rPr>
              <w:t xml:space="preserve">0.5862</w:t>
            </w:r>
          </w:p>
        </w:tc>
        <w:tc>
          <w:tcPr>
            <w:tcW w:type="dxa" w:w="1600"/>
          </w:tcPr>
          <w:p>
            <w:r>
              <w:rPr>
                <w:sz w:val="18"/>
                <w:szCs w:val="18"/>
              </w:rPr>
              <w:t xml:space="preserve">3.0296</w:t>
            </w:r>
          </w:p>
        </w:tc>
      </w:tr>
      <w:tr>
        <w:tc>
          <w:tcPr>
            <w:tcW w:type="dxa" w:w="3200"/>
            <w:shd w:fill="F2F2F2" w:color="auto" w:val="clear"/>
          </w:tcPr>
          <w:p>
            <w:r>
              <w:rPr>
                <w:sz w:val="18"/>
                <w:szCs w:val="18"/>
              </w:rPr>
              <w:t xml:space="preserve">root vegetables, tropical fruit</w:t>
            </w:r>
          </w:p>
        </w:tc>
        <w:tc>
          <w:tcPr>
            <w:tcW w:type="dxa" w:w="2200"/>
            <w:shd w:fill="F2F2F2" w:color="auto" w:val="clear"/>
          </w:tcPr>
          <w:p>
            <w:r>
              <w:rPr>
                <w:sz w:val="18"/>
                <w:szCs w:val="18"/>
              </w:rPr>
              <w:t xml:space="preserve">other vegetables</w:t>
            </w:r>
          </w:p>
        </w:tc>
        <w:tc>
          <w:tcPr>
            <w:tcW w:type="dxa" w:w="1500"/>
            <w:shd w:fill="F2F2F2" w:color="auto" w:val="clear"/>
          </w:tcPr>
          <w:p>
            <w:r>
              <w:rPr>
                <w:sz w:val="18"/>
                <w:szCs w:val="18"/>
              </w:rPr>
              <w:t xml:space="preserve">0.0123</w:t>
            </w:r>
          </w:p>
        </w:tc>
        <w:tc>
          <w:tcPr>
            <w:tcW w:type="dxa" w:w="1500"/>
            <w:shd w:fill="F2F2F2" w:color="auto" w:val="clear"/>
          </w:tcPr>
          <w:p>
            <w:r>
              <w:rPr>
                <w:sz w:val="18"/>
                <w:szCs w:val="18"/>
              </w:rPr>
              <w:t xml:space="preserve">0.5845</w:t>
            </w:r>
          </w:p>
        </w:tc>
        <w:tc>
          <w:tcPr>
            <w:tcW w:type="dxa" w:w="1600"/>
            <w:shd w:fill="F2F2F2" w:color="auto" w:val="clear"/>
          </w:tcPr>
          <w:p>
            <w:r>
              <w:rPr>
                <w:sz w:val="18"/>
                <w:szCs w:val="18"/>
              </w:rPr>
              <w:t xml:space="preserve">3.0210</w:t>
            </w:r>
          </w:p>
        </w:tc>
      </w:tr>
      <w:tr>
        <w:tc>
          <w:tcPr>
            <w:tcW w:type="dxa" w:w="3200"/>
          </w:tcPr>
          <w:p>
            <w:r>
              <w:rPr>
                <w:sz w:val="18"/>
                <w:szCs w:val="18"/>
              </w:rPr>
              <w:t xml:space="preserve">other vegetables, whole milk</w:t>
            </w:r>
          </w:p>
        </w:tc>
        <w:tc>
          <w:tcPr>
            <w:tcW w:type="dxa" w:w="2200"/>
          </w:tcPr>
          <w:p>
            <w:r>
              <w:rPr>
                <w:sz w:val="18"/>
                <w:szCs w:val="18"/>
              </w:rPr>
              <w:t xml:space="preserve">root vegetables</w:t>
            </w:r>
          </w:p>
        </w:tc>
        <w:tc>
          <w:tcPr>
            <w:tcW w:type="dxa" w:w="1500"/>
          </w:tcPr>
          <w:p>
            <w:r>
              <w:rPr>
                <w:sz w:val="18"/>
                <w:szCs w:val="18"/>
              </w:rPr>
              <w:t xml:space="preserve">0.0232</w:t>
            </w:r>
          </w:p>
        </w:tc>
        <w:tc>
          <w:tcPr>
            <w:tcW w:type="dxa" w:w="1500"/>
          </w:tcPr>
          <w:p>
            <w:r>
              <w:rPr>
                <w:sz w:val="18"/>
                <w:szCs w:val="18"/>
              </w:rPr>
              <w:t xml:space="preserve">0.3098</w:t>
            </w:r>
          </w:p>
        </w:tc>
        <w:tc>
          <w:tcPr>
            <w:tcW w:type="dxa" w:w="1600"/>
          </w:tcPr>
          <w:p>
            <w:r>
              <w:rPr>
                <w:sz w:val="18"/>
                <w:szCs w:val="18"/>
              </w:rPr>
              <w:t xml:space="preserve">2.8421</w:t>
            </w:r>
          </w:p>
        </w:tc>
      </w:tr>
      <w:tr>
        <w:tc>
          <w:tcPr>
            <w:tcW w:type="dxa" w:w="3200"/>
            <w:shd w:fill="F2F2F2" w:color="auto" w:val="clear"/>
          </w:tcPr>
          <w:p>
            <w:r>
              <w:rPr>
                <w:sz w:val="18"/>
                <w:szCs w:val="18"/>
              </w:rPr>
              <w:t xml:space="preserve">curd, whole milk</w:t>
            </w:r>
          </w:p>
        </w:tc>
        <w:tc>
          <w:tcPr>
            <w:tcW w:type="dxa" w:w="2200"/>
            <w:shd w:fill="F2F2F2" w:color="auto" w:val="clear"/>
          </w:tcPr>
          <w:p>
            <w:r>
              <w:rPr>
                <w:sz w:val="18"/>
                <w:szCs w:val="18"/>
              </w:rPr>
              <w:t xml:space="preserve">yogurt</w:t>
            </w:r>
          </w:p>
        </w:tc>
        <w:tc>
          <w:tcPr>
            <w:tcW w:type="dxa" w:w="1500"/>
            <w:shd w:fill="F2F2F2" w:color="auto" w:val="clear"/>
          </w:tcPr>
          <w:p>
            <w:r>
              <w:rPr>
                <w:sz w:val="18"/>
                <w:szCs w:val="18"/>
              </w:rPr>
              <w:t xml:space="preserve">0.0101</w:t>
            </w:r>
          </w:p>
        </w:tc>
        <w:tc>
          <w:tcPr>
            <w:tcW w:type="dxa" w:w="1500"/>
            <w:shd w:fill="F2F2F2" w:color="auto" w:val="clear"/>
          </w:tcPr>
          <w:p>
            <w:r>
              <w:rPr>
                <w:sz w:val="18"/>
                <w:szCs w:val="18"/>
              </w:rPr>
              <w:t xml:space="preserve">0.3852</w:t>
            </w:r>
          </w:p>
        </w:tc>
        <w:tc>
          <w:tcPr>
            <w:tcW w:type="dxa" w:w="1600"/>
            <w:shd w:fill="F2F2F2" w:color="auto" w:val="clear"/>
          </w:tcPr>
          <w:p>
            <w:r>
              <w:rPr>
                <w:sz w:val="18"/>
                <w:szCs w:val="18"/>
              </w:rPr>
              <w:t xml:space="preserve">2.7614</w:t>
            </w:r>
          </w:p>
        </w:tc>
      </w:tr>
      <w:tr>
        <w:tc>
          <w:tcPr>
            <w:tcW w:type="dxa" w:w="3200"/>
          </w:tcPr>
          <w:p>
            <w:r>
              <w:rPr>
                <w:sz w:val="18"/>
                <w:szCs w:val="18"/>
              </w:rPr>
              <w:t xml:space="preserve">other vegetables, yogurt</w:t>
            </w:r>
          </w:p>
        </w:tc>
        <w:tc>
          <w:tcPr>
            <w:tcW w:type="dxa" w:w="2200"/>
          </w:tcPr>
          <w:p>
            <w:r>
              <w:rPr>
                <w:sz w:val="18"/>
                <w:szCs w:val="18"/>
              </w:rPr>
              <w:t xml:space="preserve">root vegetables</w:t>
            </w:r>
          </w:p>
        </w:tc>
        <w:tc>
          <w:tcPr>
            <w:tcW w:type="dxa" w:w="1500"/>
          </w:tcPr>
          <w:p>
            <w:r>
              <w:rPr>
                <w:sz w:val="18"/>
                <w:szCs w:val="18"/>
              </w:rPr>
              <w:t xml:space="preserve">0.0129</w:t>
            </w:r>
          </w:p>
        </w:tc>
        <w:tc>
          <w:tcPr>
            <w:tcW w:type="dxa" w:w="1500"/>
          </w:tcPr>
          <w:p>
            <w:r>
              <w:rPr>
                <w:sz w:val="18"/>
                <w:szCs w:val="18"/>
              </w:rPr>
              <w:t xml:space="preserve">0.2974</w:t>
            </w:r>
          </w:p>
        </w:tc>
        <w:tc>
          <w:tcPr>
            <w:tcW w:type="dxa" w:w="1600"/>
          </w:tcPr>
          <w:p>
            <w:r>
              <w:rPr>
                <w:sz w:val="18"/>
                <w:szCs w:val="18"/>
              </w:rPr>
              <w:t xml:space="preserve">2.7287</w:t>
            </w:r>
          </w:p>
        </w:tc>
      </w:tr>
      <w:tr>
        <w:tc>
          <w:tcPr>
            <w:tcW w:type="dxa" w:w="3200"/>
            <w:shd w:fill="F2F2F2" w:color="auto" w:val="clear"/>
          </w:tcPr>
          <w:p>
            <w:r>
              <w:rPr>
                <w:sz w:val="18"/>
                <w:szCs w:val="18"/>
              </w:rPr>
              <w:t xml:space="preserve">other vegetables, yogurt</w:t>
            </w:r>
          </w:p>
        </w:tc>
        <w:tc>
          <w:tcPr>
            <w:tcW w:type="dxa" w:w="2200"/>
            <w:shd w:fill="F2F2F2" w:color="auto" w:val="clear"/>
          </w:tcPr>
          <w:p>
            <w:r>
              <w:rPr>
                <w:sz w:val="18"/>
                <w:szCs w:val="18"/>
              </w:rPr>
              <w:t xml:space="preserve">tropical fruit</w:t>
            </w:r>
          </w:p>
        </w:tc>
        <w:tc>
          <w:tcPr>
            <w:tcW w:type="dxa" w:w="1500"/>
            <w:shd w:fill="F2F2F2" w:color="auto" w:val="clear"/>
          </w:tcPr>
          <w:p>
            <w:r>
              <w:rPr>
                <w:sz w:val="18"/>
                <w:szCs w:val="18"/>
              </w:rPr>
              <w:t xml:space="preserve">0.0123</w:t>
            </w:r>
          </w:p>
        </w:tc>
        <w:tc>
          <w:tcPr>
            <w:tcW w:type="dxa" w:w="1500"/>
            <w:shd w:fill="F2F2F2" w:color="auto" w:val="clear"/>
          </w:tcPr>
          <w:p>
            <w:r>
              <w:rPr>
                <w:sz w:val="18"/>
                <w:szCs w:val="18"/>
              </w:rPr>
              <w:t xml:space="preserve">0.2834</w:t>
            </w:r>
          </w:p>
        </w:tc>
        <w:tc>
          <w:tcPr>
            <w:tcW w:type="dxa" w:w="1600"/>
            <w:shd w:fill="F2F2F2" w:color="auto" w:val="clear"/>
          </w:tcPr>
          <w:p>
            <w:r>
              <w:rPr>
                <w:sz w:val="18"/>
                <w:szCs w:val="18"/>
              </w:rPr>
              <w:t xml:space="preserve">2.7005</w:t>
            </w:r>
          </w:p>
        </w:tc>
      </w:tr>
    </w:tbl>
    <w:p>
      <w:pPr>
        <w:pStyle w:val="Heading1"/>
        <w:spacing w:after="150" w:before="300"/>
      </w:pPr>
      <w:r>
        <w:t xml:space="preserve">Question 4: Understanding the Measures</w:t>
      </w:r>
    </w:p>
    <w:p>
      <w:pPr>
        <w:spacing w:after="120"/>
      </w:pPr>
      <w:r>
        <w:t xml:space="preserve">Three rules from the table above are explained in detail:</w:t>
      </w:r>
    </w:p>
    <w:p>
      <w:pPr>
        <w:pStyle w:val="Heading2"/>
        <w:spacing w:after="100" w:before="200"/>
      </w:pPr>
      <w:r>
        <w:t xml:space="preserve">Rule 1: {citrus fruit, other vegetables} → {root vegetables}</w:t>
      </w:r>
    </w:p>
    <w:p>
      <w:pPr>
        <w:pStyle w:val="ListParagraph"/>
        <w:numPr>
          <w:ilvl w:val="0"/>
          <w:numId w:val="1"/>
        </w:numPr>
        <w:spacing w:after="80"/>
      </w:pPr>
      <w:r>
        <w:t xml:space="preserve">Support (1.04%): This combination of all three items together appears in about 1 out of every 100 transactions.</w:t>
      </w:r>
    </w:p>
    <w:p>
      <w:pPr>
        <w:pStyle w:val="ListParagraph"/>
        <w:numPr>
          <w:ilvl w:val="0"/>
          <w:numId w:val="1"/>
        </w:numPr>
        <w:spacing w:after="80"/>
      </w:pPr>
      <w:r>
        <w:t xml:space="preserve">Confidence (35.9%): Of the customers who buy citrus fruit and other vegetables, about 36% also buy root vegetables.</w:t>
      </w:r>
    </w:p>
    <w:p>
      <w:pPr>
        <w:pStyle w:val="ListParagraph"/>
        <w:numPr>
          <w:ilvl w:val="0"/>
          <w:numId w:val="1"/>
        </w:numPr>
        <w:spacing w:after="80"/>
      </w:pPr>
      <w:r>
        <w:t xml:space="preserve">Lift (3.30): Customers who buy citrus fruit and other vegetables are about 3.3 times more likely to also buy root vegetables than a random customer — a strong positive association.</w:t>
      </w:r>
    </w:p>
    <w:p>
      <w:pPr>
        <w:pStyle w:val="Heading2"/>
        <w:spacing w:after="100" w:before="200"/>
      </w:pPr>
      <w:r>
        <w:t xml:space="preserve">Rule 2: {citrus fruit, root vegetables} → {other vegetables}</w:t>
      </w:r>
    </w:p>
    <w:p>
      <w:pPr>
        <w:pStyle w:val="ListParagraph"/>
        <w:numPr>
          <w:ilvl w:val="0"/>
          <w:numId w:val="1"/>
        </w:numPr>
        <w:spacing w:after="80"/>
      </w:pPr>
      <w:r>
        <w:t xml:space="preserve">Support (1.04%): This itemset appears in about 1% of all transactions.</w:t>
      </w:r>
    </w:p>
    <w:p>
      <w:pPr>
        <w:pStyle w:val="ListParagraph"/>
        <w:numPr>
          <w:ilvl w:val="0"/>
          <w:numId w:val="1"/>
        </w:numPr>
        <w:spacing w:after="80"/>
      </w:pPr>
      <w:r>
        <w:t xml:space="preserve">Confidence (58.6%): Nearly 6 in 10 customers who buy citrus fruit and root vegetables also buy other vegetables — the highest confidence among the generated rules.</w:t>
      </w:r>
    </w:p>
    <w:p>
      <w:pPr>
        <w:pStyle w:val="ListParagraph"/>
        <w:numPr>
          <w:ilvl w:val="0"/>
          <w:numId w:val="1"/>
        </w:numPr>
        <w:spacing w:after="80"/>
      </w:pPr>
      <w:r>
        <w:t xml:space="preserve">Lift (3.03): Buying citrus fruit and root vegetables together makes a customer about 3 times more likely to also buy other vegetables than average.</w:t>
      </w:r>
    </w:p>
    <w:p>
      <w:pPr>
        <w:pStyle w:val="Heading2"/>
        <w:spacing w:after="100" w:before="200"/>
      </w:pPr>
      <w:r>
        <w:t xml:space="preserve">Rule 3: {other vegetables} → {whole milk}</w:t>
      </w:r>
    </w:p>
    <w:p>
      <w:pPr>
        <w:pStyle w:val="ListParagraph"/>
        <w:numPr>
          <w:ilvl w:val="0"/>
          <w:numId w:val="1"/>
        </w:numPr>
        <w:spacing w:after="80"/>
      </w:pPr>
      <w:r>
        <w:t xml:space="preserve">Support (7.48%): This is the most common pairing in the dataset — nearly 7.5% of all transactions include both items.</w:t>
      </w:r>
    </w:p>
    <w:p>
      <w:pPr>
        <w:pStyle w:val="ListParagraph"/>
        <w:numPr>
          <w:ilvl w:val="0"/>
          <w:numId w:val="1"/>
        </w:numPr>
        <w:spacing w:after="80"/>
      </w:pPr>
      <w:r>
        <w:t xml:space="preserve">Confidence (38.7%): Almost 39% of customers who buy other vegetables also buy whole milk.</w:t>
      </w:r>
    </w:p>
    <w:p>
      <w:pPr>
        <w:pStyle w:val="ListParagraph"/>
        <w:numPr>
          <w:ilvl w:val="0"/>
          <w:numId w:val="1"/>
        </w:numPr>
        <w:spacing w:after="80"/>
      </w:pPr>
      <w:r>
        <w:t xml:space="preserve">Lift (1.51): Buying other vegetables makes a customer about 1.5 times more likely to buy whole milk than average — a moderate, still meaningful, positive association.</w:t>
      </w:r>
    </w:p>
    <w:p>
      <w:pPr>
        <w:pStyle w:val="Heading1"/>
        <w:spacing w:after="150" w:before="300"/>
      </w:pPr>
      <w:r>
        <w:t xml:space="preserve">Question 5: Find Interesting Rules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100"/>
        <w:gridCol w:w="1200"/>
        <w:gridCol w:w="1400"/>
        <w:gridCol w:w="1000"/>
      </w:tblGrid>
      <w:tr>
        <w:trPr>
          <w:tblHeader/>
        </w:trPr>
        <w:tc>
          <w:tcPr>
            <w:tcW w:type="dxa" w:w="1700"/>
            <w:shd w:fill="2F5496" w:color="auto" w:val="clear"/>
          </w:tcPr>
          <w:p>
            <w:r>
              <w:rPr>
                <w:b/>
                <w:bCs/>
                <w:color w:val="FFFFFF"/>
                <w:sz w:val="18"/>
                <w:szCs w:val="18"/>
              </w:rPr>
              <w:t xml:space="preserve">Criterion</w:t>
            </w:r>
          </w:p>
        </w:tc>
        <w:tc>
          <w:tcPr>
            <w:tcW w:type="dxa" w:w="2600"/>
            <w:shd w:fill="2F5496" w:color="auto" w:val="clear"/>
          </w:tcPr>
          <w:p>
            <w:r>
              <w:rPr>
                <w:b/>
                <w:bCs/>
                <w:color w:val="FFFFFF"/>
                <w:sz w:val="18"/>
                <w:szCs w:val="18"/>
              </w:rPr>
              <w:t xml:space="preserve">Antecedent</w:t>
            </w:r>
          </w:p>
        </w:tc>
        <w:tc>
          <w:tcPr>
            <w:tcW w:type="dxa" w:w="2100"/>
            <w:shd w:fill="2F5496" w:color="auto" w:val="clear"/>
          </w:tcPr>
          <w:p>
            <w:r>
              <w:rPr>
                <w:b/>
                <w:bCs/>
                <w:color w:val="FFFFFF"/>
                <w:sz w:val="18"/>
                <w:szCs w:val="18"/>
              </w:rPr>
              <w:t xml:space="preserve">Consequent</w:t>
            </w:r>
          </w:p>
        </w:tc>
        <w:tc>
          <w:tcPr>
            <w:tcW w:type="dxa" w:w="1200"/>
            <w:shd w:fill="2F5496" w:color="auto" w:val="clear"/>
          </w:tcPr>
          <w:p>
            <w:r>
              <w:rPr>
                <w:b/>
                <w:bCs/>
                <w:color w:val="FFFFFF"/>
                <w:sz w:val="18"/>
                <w:szCs w:val="18"/>
              </w:rPr>
              <w:t xml:space="preserve">Support</w:t>
            </w:r>
          </w:p>
        </w:tc>
        <w:tc>
          <w:tcPr>
            <w:tcW w:type="dxa" w:w="1400"/>
            <w:shd w:fill="2F5496" w:color="auto" w:val="clear"/>
          </w:tcPr>
          <w:p>
            <w:r>
              <w:rPr>
                <w:b/>
                <w:bCs/>
                <w:color w:val="FFFFFF"/>
                <w:sz w:val="18"/>
                <w:szCs w:val="18"/>
              </w:rPr>
              <w:t xml:space="preserve">Confidence</w:t>
            </w:r>
          </w:p>
        </w:tc>
        <w:tc>
          <w:tcPr>
            <w:tcW w:type="dxa" w:w="1000"/>
            <w:shd w:fill="2F5496" w:color="auto" w:val="clear"/>
          </w:tcPr>
          <w:p>
            <w:r>
              <w:rPr>
                <w:b/>
                <w:bCs/>
                <w:color w:val="FFFFFF"/>
                <w:sz w:val="18"/>
                <w:szCs w:val="18"/>
              </w:rPr>
              <w:t xml:space="preserve">Lift</w:t>
            </w:r>
          </w:p>
        </w:tc>
      </w:tr>
      <w:tr>
        <w:tc>
          <w:tcPr>
            <w:tcW w:type="dxa" w:w="1700"/>
          </w:tcPr>
          <w:p>
            <w:r>
              <w:rPr>
                <w:sz w:val="18"/>
                <w:szCs w:val="18"/>
              </w:rPr>
              <w:t xml:space="preserve">Highest confidence</w:t>
            </w:r>
          </w:p>
        </w:tc>
        <w:tc>
          <w:tcPr>
            <w:tcW w:type="dxa" w:w="2600"/>
          </w:tcPr>
          <w:p>
            <w:r>
              <w:rPr>
                <w:sz w:val="18"/>
                <w:szCs w:val="18"/>
              </w:rPr>
              <w:t xml:space="preserve">citrus fruit, root vegetables</w:t>
            </w:r>
          </w:p>
        </w:tc>
        <w:tc>
          <w:tcPr>
            <w:tcW w:type="dxa" w:w="2100"/>
          </w:tcPr>
          <w:p>
            <w:r>
              <w:rPr>
                <w:sz w:val="18"/>
                <w:szCs w:val="18"/>
              </w:rPr>
              <w:t xml:space="preserve">other vegetables</w:t>
            </w:r>
          </w:p>
        </w:tc>
        <w:tc>
          <w:tcPr>
            <w:tcW w:type="dxa" w:w="1200"/>
          </w:tcPr>
          <w:p>
            <w:r>
              <w:rPr>
                <w:sz w:val="18"/>
                <w:szCs w:val="18"/>
              </w:rPr>
              <w:t xml:space="preserve">0.0104</w:t>
            </w:r>
          </w:p>
        </w:tc>
        <w:tc>
          <w:tcPr>
            <w:tcW w:type="dxa" w:w="1400"/>
          </w:tcPr>
          <w:p>
            <w:r>
              <w:rPr>
                <w:sz w:val="18"/>
                <w:szCs w:val="18"/>
              </w:rPr>
              <w:t xml:space="preserve">0.5862</w:t>
            </w:r>
          </w:p>
        </w:tc>
        <w:tc>
          <w:tcPr>
            <w:tcW w:type="dxa" w:w="1000"/>
          </w:tcPr>
          <w:p>
            <w:r>
              <w:rPr>
                <w:sz w:val="18"/>
                <w:szCs w:val="18"/>
              </w:rPr>
              <w:t xml:space="preserve">3.0296</w:t>
            </w:r>
          </w:p>
        </w:tc>
      </w:tr>
      <w:tr>
        <w:tc>
          <w:tcPr>
            <w:tcW w:type="dxa" w:w="1700"/>
            <w:shd w:fill="F2F2F2" w:color="auto" w:val="clear"/>
          </w:tcPr>
          <w:p>
            <w:r>
              <w:rPr>
                <w:sz w:val="18"/>
                <w:szCs w:val="18"/>
              </w:rPr>
              <w:t xml:space="preserve">Highest lift</w:t>
            </w:r>
          </w:p>
        </w:tc>
        <w:tc>
          <w:tcPr>
            <w:tcW w:type="dxa" w:w="2600"/>
            <w:shd w:fill="F2F2F2" w:color="auto" w:val="clear"/>
          </w:tcPr>
          <w:p>
            <w:r>
              <w:rPr>
                <w:sz w:val="18"/>
                <w:szCs w:val="18"/>
              </w:rPr>
              <w:t xml:space="preserve">citrus fruit, other vegetables</w:t>
            </w:r>
          </w:p>
        </w:tc>
        <w:tc>
          <w:tcPr>
            <w:tcW w:type="dxa" w:w="2100"/>
            <w:shd w:fill="F2F2F2" w:color="auto" w:val="clear"/>
          </w:tcPr>
          <w:p>
            <w:r>
              <w:rPr>
                <w:sz w:val="18"/>
                <w:szCs w:val="18"/>
              </w:rPr>
              <w:t xml:space="preserve">root vegetables</w:t>
            </w:r>
          </w:p>
        </w:tc>
        <w:tc>
          <w:tcPr>
            <w:tcW w:type="dxa" w:w="1200"/>
            <w:shd w:fill="F2F2F2" w:color="auto" w:val="clear"/>
          </w:tcPr>
          <w:p>
            <w:r>
              <w:rPr>
                <w:sz w:val="18"/>
                <w:szCs w:val="18"/>
              </w:rPr>
              <w:t xml:space="preserve">0.0104</w:t>
            </w:r>
          </w:p>
        </w:tc>
        <w:tc>
          <w:tcPr>
            <w:tcW w:type="dxa" w:w="1400"/>
            <w:shd w:fill="F2F2F2" w:color="auto" w:val="clear"/>
          </w:tcPr>
          <w:p>
            <w:r>
              <w:rPr>
                <w:sz w:val="18"/>
                <w:szCs w:val="18"/>
              </w:rPr>
              <w:t xml:space="preserve">0.3592</w:t>
            </w:r>
          </w:p>
        </w:tc>
        <w:tc>
          <w:tcPr>
            <w:tcW w:type="dxa" w:w="1000"/>
            <w:shd w:fill="F2F2F2" w:color="auto" w:val="clear"/>
          </w:tcPr>
          <w:p>
            <w:r>
              <w:rPr>
                <w:sz w:val="18"/>
                <w:szCs w:val="18"/>
              </w:rPr>
              <w:t xml:space="preserve">3.2950</w:t>
            </w:r>
          </w:p>
        </w:tc>
      </w:tr>
      <w:tr>
        <w:tc>
          <w:tcPr>
            <w:tcW w:type="dxa" w:w="1700"/>
          </w:tcPr>
          <w:p>
            <w:r>
              <w:rPr>
                <w:sz w:val="18"/>
                <w:szCs w:val="18"/>
              </w:rPr>
              <w:t xml:space="preserve">Highest support</w:t>
            </w:r>
          </w:p>
        </w:tc>
        <w:tc>
          <w:tcPr>
            <w:tcW w:type="dxa" w:w="2600"/>
          </w:tcPr>
          <w:p>
            <w:r>
              <w:rPr>
                <w:sz w:val="18"/>
                <w:szCs w:val="18"/>
              </w:rPr>
              <w:t xml:space="preserve">other vegetables</w:t>
            </w:r>
          </w:p>
        </w:tc>
        <w:tc>
          <w:tcPr>
            <w:tcW w:type="dxa" w:w="2100"/>
          </w:tcPr>
          <w:p>
            <w:r>
              <w:rPr>
                <w:sz w:val="18"/>
                <w:szCs w:val="18"/>
              </w:rPr>
              <w:t xml:space="preserve">whole milk</w:t>
            </w:r>
          </w:p>
        </w:tc>
        <w:tc>
          <w:tcPr>
            <w:tcW w:type="dxa" w:w="1200"/>
          </w:tcPr>
          <w:p>
            <w:r>
              <w:rPr>
                <w:sz w:val="18"/>
                <w:szCs w:val="18"/>
              </w:rPr>
              <w:t xml:space="preserve">0.0748</w:t>
            </w:r>
          </w:p>
        </w:tc>
        <w:tc>
          <w:tcPr>
            <w:tcW w:type="dxa" w:w="1400"/>
          </w:tcPr>
          <w:p>
            <w:r>
              <w:rPr>
                <w:sz w:val="18"/>
                <w:szCs w:val="18"/>
              </w:rPr>
              <w:t xml:space="preserve">0.3868</w:t>
            </w:r>
          </w:p>
        </w:tc>
        <w:tc>
          <w:tcPr>
            <w:tcW w:type="dxa" w:w="1000"/>
          </w:tcPr>
          <w:p>
            <w:r>
              <w:rPr>
                <w:sz w:val="18"/>
                <w:szCs w:val="18"/>
              </w:rPr>
              <w:t xml:space="preserve">1.5136</w:t>
            </w:r>
          </w:p>
        </w:tc>
      </w:tr>
    </w:tbl>
    <w:p>
      <w:pPr>
        <w:spacing w:after="120"/>
      </w:pPr>
      <w:r>
        <w:t xml:space="preserve">d. These are not the same rule. The highest-support rule ({other vegetables} → {whole milk}) simply reflects that both items are purchased very often overall, regardless of whether one causes purchase of the other — its lift (1.51) is comparatively modest. The highest-confidence and highest-lift rules both involve citrus fruit, root vegetables, and other vegetables together, and describe a narrower but statistically stronger relationship: these items co-occur far more than chance would predict, even though fewer customers buy them. In short, support reflects popularity, while confidence and lift reflect the strength of the relationship between specific items.</w:t>
      </w:r>
    </w:p>
    <w:p>
      <w:pPr>
        <w:pStyle w:val="Heading1"/>
        <w:spacing w:after="150" w:before="300"/>
      </w:pPr>
      <w:r>
        <w:t xml:space="preserve">Question 6: Interpret a Rule</w:t>
      </w:r>
    </w:p>
    <w:p>
      <w:pPr>
        <w:spacing w:after="120"/>
      </w:pPr>
      <w:r>
        <w:t xml:space="preserve">Rule: {citrus fruit, root vegetables} → {other vegetables}</w:t>
      </w:r>
    </w:p>
    <w:p>
      <w:pPr>
        <w:spacing w:after="120"/>
      </w:pPr>
      <w:r>
        <w:t xml:space="preserve">In simple language: customers who purchase citrus fruit and root vegetables also tend to purchase other vegetables. This makes intuitive sense — these are all items from the same part of the store (fresh produce), so a customer stocking up on fresh produce for the week tends to pick up several types of vegetables and fruit at once.</w:t>
      </w:r>
    </w:p>
    <w:p>
      <w:pPr>
        <w:spacing w:after="120"/>
      </w:pPr>
      <w:r>
        <w:t xml:space="preserve">This is a strong association. The confidence of 58.6% means the rule holds for well over half of the relevant customers, and the lift of 3.03 shows that buying these two items together makes a customer three times more likely than average to also buy other vegetables. Both measures point in the same direction, confirming the relationship is meaningful rather than coincidental.</w:t>
      </w:r>
    </w:p>
    <w:p>
      <w:pPr>
        <w:pStyle w:val="Heading1"/>
        <w:spacing w:after="150" w:before="300"/>
      </w:pPr>
      <w:r>
        <w:t xml:space="preserve">Question 7: Business Application</w:t>
      </w:r>
    </w:p>
    <w:p>
      <w:pPr>
        <w:pStyle w:val="Heading2"/>
        <w:spacing w:after="100" w:before="200"/>
      </w:pPr>
      <w:r>
        <w:t xml:space="preserve">a. Products to place close together</w:t>
      </w:r>
    </w:p>
    <w:p>
      <w:pPr>
        <w:spacing w:after="120"/>
      </w:pPr>
      <w:r>
        <w:t xml:space="preserve">Root vegetables and other vegetables could be placed close to each other, since they show a high lift (2.84–3.02 across several rules) and are already part of the same fresh-produce shopping trip.</w:t>
      </w:r>
    </w:p>
    <w:p>
      <w:pPr>
        <w:pStyle w:val="Heading2"/>
        <w:spacing w:after="100" w:before="200"/>
      </w:pPr>
      <w:r>
        <w:t xml:space="preserve">b. Possible product bundle</w:t>
      </w:r>
    </w:p>
    <w:p>
      <w:pPr>
        <w:spacing w:after="120"/>
      </w:pPr>
      <w:r>
        <w:t xml:space="preserve">A "Fresh Produce Basket" bundle of citrus fruit, root vegetables, and other vegetables could be promoted together, since all three appear together far more often than chance would predict.</w:t>
      </w:r>
    </w:p>
    <w:p>
      <w:pPr>
        <w:pStyle w:val="Heading2"/>
        <w:spacing w:after="100" w:before="200"/>
      </w:pPr>
      <w:r>
        <w:t xml:space="preserve">c. Recommendation engine example</w:t>
      </w:r>
    </w:p>
    <w:p>
      <w:pPr>
        <w:spacing w:after="120"/>
      </w:pPr>
      <w:r>
        <w:t xml:space="preserve">When a customer adds root vegetables and citrus fruit to their online cart or self-checkout basket, the system could automatically suggest other vegetables ("customers who bought this also bought..."), since 58.6% of similar customers went on to buy it.</w:t>
      </w:r>
    </w:p>
    <w:p>
      <w:pPr>
        <w:pStyle w:val="Heading1"/>
        <w:spacing w:after="150" w:before="300"/>
      </w:pPr>
      <w:r>
        <w:t xml:space="preserve">Question 8: Understanding Association</w:t>
      </w:r>
    </w:p>
    <w:p>
      <w:pPr>
        <w:pStyle w:val="Heading2"/>
        <w:spacing w:after="100" w:before="200"/>
      </w:pPr>
      <w:r>
        <w:t xml:space="preserve">a. Does association imply causation?</w:t>
      </w:r>
    </w:p>
    <w:p>
      <w:pPr>
        <w:spacing w:after="120"/>
      </w:pPr>
      <w:r>
        <w:t xml:space="preserve">No. An association rule only shows that two items are statistically likely to appear in the same transaction — it does not prove that buying one product causes a customer to buy the other. The relationship could instead be explained by a shared underlying cause, such as both items being needed for the same meal or recipe, seasonal shopping habits, or store layout, rather than one product influencing the purchase of the other.</w:t>
      </w:r>
    </w:p>
    <w:p>
      <w:pPr>
        <w:pStyle w:val="Heading2"/>
        <w:spacing w:after="100" w:before="200"/>
      </w:pPr>
      <w:r>
        <w:t xml:space="preserve">b. High confidence but low lift</w:t>
      </w:r>
    </w:p>
    <w:p>
      <w:pPr>
        <w:spacing w:after="120"/>
      </w:pPr>
      <w:r>
        <w:t xml:space="preserve">A rule can have high confidence but low lift when the consequent item is already very popular on its own. For example, if 90% of all transactions include whole milk regardless of what else is bought, then almost any antecedent will show high confidence for "→ whole milk" simply because most customers buy milk anyway — not because the antecedent actually drives that purchase. Lift corrects for this by comparing confidence to the item's baseline frequency.</w:t>
      </w:r>
    </w:p>
    <w:p>
      <w:pPr>
        <w:pStyle w:val="Heading2"/>
        <w:spacing w:after="100" w:before="200"/>
      </w:pPr>
      <w:r>
        <w:t xml:space="preserve">c. Lift greater than 1</w:t>
      </w:r>
    </w:p>
    <w:p>
      <w:pPr>
        <w:spacing w:after="120"/>
      </w:pPr>
      <w:r>
        <w:t xml:space="preserve">A lift value greater than 1 indicates that the antecedent and consequent occur together more often than would be expected if they were purchased independently — that is, there is a positive association between the items. A lift of exactly 1 indicates no association (independence), and a lift below 1 indicates the items are purchased together less often than expected (a negative association).</w:t>
      </w:r>
    </w:p>
    <w:p>
      <w:pPr>
        <w:pStyle w:val="Heading1"/>
        <w:spacing w:after="150" w:before="300"/>
      </w:pPr>
      <w:r>
        <w:t xml:space="preserve">Appendix: Top 10 Rules by Lift (Chart)</w:t>
      </w:r>
    </w:p>
    <w:p>
      <w:pPr>
        <w:spacing w:after="2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857500"/>
                    </a:xfrm>
                    <a:prstGeom prst="rect">
                      <a:avLst/>
                    </a:prstGeom>
                  </pic:spPr>
                </pic:pic>
              </a:graphicData>
            </a:graphic>
          </wp:inline>
        </w:drawing>
      </w:r>
    </w:p>
    <w:p>
      <w:pPr>
        <w:pStyle w:val="Heading1"/>
        <w:spacing w:after="150" w:before="300"/>
      </w:pPr>
      <w:r>
        <w:t xml:space="preserve">Methodology &amp; Code</w:t>
      </w:r>
    </w:p>
    <w:p>
      <w:pPr>
        <w:spacing w:after="120"/>
      </w:pPr>
      <w:r>
        <w:t xml:space="preserve">Analysis was performed in Python using pandas, mlxtend (Apriori algorithm and association_rules), and matplotlib. Frequent itemsets were mined with a minimum support of 1%, and association rules were generated with a minimum confidence of 20%. The complete, commented analysis script is submitted alongside this report (analysis_final.py).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b6725f7a10af5fb65d0941fdb5c43b57bfc7ff1.png"/><Relationship Id="rId8" Type="http://schemas.openxmlformats.org/officeDocument/2006/relationships/image" Target="media/ebbeaaf89534c73618fea685726239dabfc11b7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2026-09-14T17:55:01.780Z</dcterms:created>
  <dcterms:modified xsi:type="dcterms:W3CDTF">2026-09-14T17:55:01.787Z</dcterms:modified>
</cp:coreProperties>
</file>

<file path=docProps/custom.xml><?xml version="1.0" encoding="utf-8"?>
<Properties xmlns="http://schemas.openxmlformats.org/officeDocument/2006/custom-properties" xmlns:vt="http://schemas.openxmlformats.org/officeDocument/2006/docPropsVTypes"/>
</file>