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Clases de equivalencia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2542"/>
        <w:gridCol w:w="1701"/>
        <w:gridCol w:w="4536"/>
        <w:gridCol w:w="1559"/>
        <w:gridCol w:w="4522"/>
        <w:tblGridChange w:id="0">
          <w:tblGrid>
            <w:gridCol w:w="2542"/>
            <w:gridCol w:w="1701"/>
            <w:gridCol w:w="4536"/>
            <w:gridCol w:w="1559"/>
            <w:gridCol w:w="4522"/>
          </w:tblGrid>
        </w:tblGridChange>
      </w:tblGrid>
      <w:t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Libre Franklin" w:cs="Libre Franklin" w:eastAsia="Libre Franklin" w:hAnsi="Libre Franklin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8"/>
                <w:szCs w:val="28"/>
                <w:rtl w:val="0"/>
              </w:rPr>
              <w:t xml:space="preserve">Condición externa</w:t>
            </w:r>
          </w:p>
        </w:tc>
        <w:tc>
          <w:tcPr>
            <w:gridSpan w:val="2"/>
            <w:shd w:fill="2da2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Libre Franklin" w:cs="Libre Franklin" w:eastAsia="Libre Franklin" w:hAnsi="Libre Franklin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8"/>
                <w:szCs w:val="28"/>
                <w:rtl w:val="0"/>
              </w:rPr>
              <w:t xml:space="preserve">Clases de equivalencia válidas</w:t>
            </w:r>
          </w:p>
        </w:tc>
        <w:tc>
          <w:tcPr>
            <w:gridSpan w:val="2"/>
            <w:shd w:fill="2da2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Libre Franklin" w:cs="Libre Franklin" w:eastAsia="Libre Franklin" w:hAnsi="Libre Franklin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8"/>
                <w:szCs w:val="28"/>
                <w:rtl w:val="0"/>
              </w:rPr>
              <w:t xml:space="preserve">Clases de equivalencia inválidas</w:t>
            </w:r>
          </w:p>
        </w:tc>
      </w:tr>
      <w:tr>
        <w:trPr>
          <w:trHeight w:val="296" w:hRule="atLeast"/>
        </w:trPr>
        <w:tc>
          <w:tcPr>
            <w:vMerge w:val="restart"/>
            <w:shd w:fill="cde0e8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Estado del taxi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“Libre”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0F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inválido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“Solicitado”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4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no ingresado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“Ocupado”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9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“Fuera de servicio”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1E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Selección múltiple de estados válidos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3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restart"/>
            <w:shd w:fill="cde0e8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Taxi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Taxi registrado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9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Taxi no registrado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E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Taxi no seleccionado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3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Taxi sin ubicación</w:t>
            </w:r>
          </w:p>
        </w:tc>
      </w:tr>
      <w:tr>
        <w:trPr>
          <w:trHeight w:val="296" w:hRule="atLeast"/>
        </w:trPr>
        <w:tc>
          <w:tcPr>
            <w:vMerge w:val="restart"/>
            <w:shd w:fill="cde0e8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Chapa del taxi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Chapa registrada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9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Chapa inválida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E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Chapa no registrada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3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Chapa no ingresada</w:t>
            </w:r>
          </w:p>
        </w:tc>
      </w:tr>
      <w:tr>
        <w:trPr>
          <w:trHeight w:val="296" w:hRule="atLeast"/>
        </w:trPr>
        <w:tc>
          <w:tcPr>
            <w:vMerge w:val="restart"/>
            <w:shd w:fill="cde0e8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Barrio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Barrio existente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8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Barrio inexistente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D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Barrio no ingresado</w:t>
            </w:r>
          </w:p>
        </w:tc>
      </w:tr>
      <w:tr>
        <w:trPr>
          <w:trHeight w:val="296" w:hRule="atLeast"/>
        </w:trPr>
        <w:tc>
          <w:tcPr>
            <w:vMerge w:val="restart"/>
            <w:shd w:fill="cde0e8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Taxis encontrados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5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informando “No se encontraron taxis”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Taxi seleccionado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A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informando “Estado ingresado inválido”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F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informando “Chapa ingresada inexistente”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4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informando “Barrio inexistente”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9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informando “Campos incompletos”</w:t>
            </w:r>
          </w:p>
        </w:tc>
      </w:tr>
      <w:tr>
        <w:trPr>
          <w:trHeight w:val="296" w:hRule="atLeast"/>
        </w:trPr>
        <w:tc>
          <w:tcPr>
            <w:vMerge w:val="continue"/>
            <w:shd w:fill="cde0e8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E">
            <w:pPr>
              <w:tabs>
                <w:tab w:val="left" w:pos="19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de “Error”</w:t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Casos de prueba</w:t>
      </w:r>
    </w:p>
    <w:p w:rsidR="00000000" w:rsidDel="00000000" w:rsidP="00000000" w:rsidRDefault="00000000" w:rsidRPr="00000000" w14:paraId="0000007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61.000000000002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993"/>
        <w:gridCol w:w="1418"/>
        <w:gridCol w:w="1668"/>
        <w:gridCol w:w="2159"/>
        <w:gridCol w:w="4820"/>
        <w:gridCol w:w="5103"/>
        <w:tblGridChange w:id="0">
          <w:tblGrid>
            <w:gridCol w:w="993"/>
            <w:gridCol w:w="1418"/>
            <w:gridCol w:w="1668"/>
            <w:gridCol w:w="2159"/>
            <w:gridCol w:w="4820"/>
            <w:gridCol w:w="5103"/>
          </w:tblGrid>
        </w:tblGridChange>
      </w:tblGrid>
      <w:t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Id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Prioridad (Alta, Media, Baja)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Nombre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Precondiciones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Pasos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Resultado esperado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exitosa del mapa con los todos los taxis encontrados en distintos estados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no ingresa ningún filtro.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41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41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mapa donde se visualizan todos los taxis encontrados, con distintos colores en función de su estado actual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 un taxi en estado “Ocupado”, pasando el mouse sobre el ícono del mismo en el mapa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  <w:p w:rsidR="00000000" w:rsidDel="00000000" w:rsidP="00000000" w:rsidRDefault="00000000" w:rsidRPr="00000000" w14:paraId="0000008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no ingresa ningún filtro.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pasa el mouse sobre un taxi en estado “Ocupado”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mapa donde se visualizan los taxis encontrados, con distintos colores en función de su estado actual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los datos del viaje (hora de inicio y costo) y los datos del pasajero (nombre, apellido y número de teléfono celular)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 un taxi en estado “Solicitado”, pasando el mouse sobre el ícono del mismo en el mapa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no ingresa ningún filtro.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pasa el mouse sobre un taxi en estado “Solicitado”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mapa donde se visualizan los taxis encontrados, con distintos colores en función de su estado actual.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los datos del pasajero (nombre, apellido y número de teléfono celular)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en el mapa de un conjunto de taxis filtrados por un estado válido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el filtro por estado, indicando el estado “Libre”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los estados válidos para filtrar.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mapa donde se visualizan los taxis filtrados en estado “Libre” 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en el mapa de un taxi filtrado por un número de chapa registrada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el filtro por chapa de taxi, indicando el número de chapa (Ej: ABC 123)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mapa donde se visualiza el taxi correspondiente a la chapa ingresada</w:t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en el mapa de un taxi no conectado al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taxi no debe tener habilitado el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no ingresa ningún filtro.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mensaje “No se encontraron taxis”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cde0e8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de un conjunto de taxis filtrados por un barrio inexistente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taxis deben tener habilitado el sistema de ubicación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“Ver mapa de taxis”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el filtro por barrio, ingresando el barrio “Alemania”.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 la central selecciona la opción “Buscar”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la pantalla con la opción “Ver mapa de taxis”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el mensaje “Barrio inexistente”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1900" w:w="16840"/>
      <w:pgMar w:bottom="1701" w:top="1701" w:left="1417" w:right="1417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41" w:hanging="360.00000000000006"/>
      </w:pPr>
      <w:rPr/>
    </w:lvl>
    <w:lvl w:ilvl="1">
      <w:start w:val="1"/>
      <w:numFmt w:val="lowerLetter"/>
      <w:lvlText w:val="%2."/>
      <w:lvlJc w:val="left"/>
      <w:pPr>
        <w:ind w:left="1461" w:hanging="360"/>
      </w:pPr>
      <w:rPr/>
    </w:lvl>
    <w:lvl w:ilvl="2">
      <w:start w:val="1"/>
      <w:numFmt w:val="lowerRoman"/>
      <w:lvlText w:val="%3."/>
      <w:lvlJc w:val="right"/>
      <w:pPr>
        <w:ind w:left="2181" w:hanging="180"/>
      </w:pPr>
      <w:rPr/>
    </w:lvl>
    <w:lvl w:ilvl="3">
      <w:start w:val="1"/>
      <w:numFmt w:val="decimal"/>
      <w:lvlText w:val="%4."/>
      <w:lvlJc w:val="left"/>
      <w:pPr>
        <w:ind w:left="2901" w:hanging="360"/>
      </w:pPr>
      <w:rPr/>
    </w:lvl>
    <w:lvl w:ilvl="4">
      <w:start w:val="1"/>
      <w:numFmt w:val="lowerLetter"/>
      <w:lvlText w:val="%5."/>
      <w:lvlJc w:val="left"/>
      <w:pPr>
        <w:ind w:left="3621" w:hanging="360"/>
      </w:pPr>
      <w:rPr/>
    </w:lvl>
    <w:lvl w:ilvl="5">
      <w:start w:val="1"/>
      <w:numFmt w:val="lowerRoman"/>
      <w:lvlText w:val="%6."/>
      <w:lvlJc w:val="right"/>
      <w:pPr>
        <w:ind w:left="4341" w:hanging="180"/>
      </w:pPr>
      <w:rPr/>
    </w:lvl>
    <w:lvl w:ilvl="6">
      <w:start w:val="1"/>
      <w:numFmt w:val="decimal"/>
      <w:lvlText w:val="%7."/>
      <w:lvlJc w:val="left"/>
      <w:pPr>
        <w:ind w:left="5061" w:hanging="360"/>
      </w:pPr>
      <w:rPr/>
    </w:lvl>
    <w:lvl w:ilvl="7">
      <w:start w:val="1"/>
      <w:numFmt w:val="lowerLetter"/>
      <w:lvlText w:val="%8."/>
      <w:lvlJc w:val="left"/>
      <w:pPr>
        <w:ind w:left="5781" w:hanging="360"/>
      </w:pPr>
      <w:rPr/>
    </w:lvl>
    <w:lvl w:ilvl="8">
      <w:start w:val="1"/>
      <w:numFmt w:val="lowerRoman"/>
      <w:lvlText w:val="%9."/>
      <w:lvlJc w:val="right"/>
      <w:pPr>
        <w:ind w:left="650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6C55"/>
    <w:pPr>
      <w:jc w:val="both"/>
    </w:pPr>
    <w:rPr>
      <w:rFonts w:eastAsiaTheme="minorEastAsia"/>
      <w:sz w:val="20"/>
      <w:szCs w:val="21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eastAsia="es-ES" w:val="es-E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B46C55"/>
    <w:pPr>
      <w:ind w:left="720"/>
      <w:contextualSpacing w:val="1"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cs="Times New Roman" w:eastAsia="Calibri" w:hAnsi="Calibri"/>
      <w:sz w:val="20"/>
      <w:szCs w:val="20"/>
      <w:lang w:eastAsia="es-ES" w:val="es-ES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5857B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857BA"/>
    <w:rPr>
      <w:rFonts w:eastAsiaTheme="minorEastAsia"/>
      <w:sz w:val="20"/>
      <w:szCs w:val="21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857B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857BA"/>
    <w:rPr>
      <w:rFonts w:eastAsiaTheme="minorEastAsia"/>
      <w:sz w:val="20"/>
      <w:szCs w:val="21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  <w:style w:type="table" w:styleId="Table2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3S0YWy8ziMSM9nB0kIZWk5C2w==">AMUW2mVL7+gO/Nzv+fLZTMo5v2W7N6NsoR/XLt0G/KC+8Nx9MUg+p6Ta53Ko+dmwBj3hnR3ZoNvPqIp7PhFanOzunD5N/2ymu0Z51btP2r3FGoZZz7YVYHQ=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2020-05-19T20:51:00Z</dcterms:created>
  <dc:creator>Joaquín Robles</dc:creator>
</cp:coreProperties>
</file>