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w:t>
      </w:r>
      <w:r>
        <w:t xml:space="preserve"> </w:t>
      </w:r>
      <w:r>
        <w:t xml:space="preserve">(Notredame et al., 2014)</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 This newly developed phenomenological control scale (PCS) consists of 10 imaginative suggestions followed by subjective ratings for each suggestion on a 6-point Likert scale and has demonstrated validity in online experiments</w:t>
      </w:r>
      <w:r>
        <w:t xml:space="preserve"> </w:t>
      </w:r>
      <w:r>
        <w:t xml:space="preserve">(Lush et al., 2022)</w:t>
      </w:r>
      <w: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paradigm that encompasses other illusion types (see</w:t>
      </w:r>
      <w:r>
        <w:t xml:space="preserve"> </w:t>
      </w:r>
      <w:hyperlink w:anchor="tbl-table1">
        <w:r>
          <w:rPr>
            <w:rStyle w:val="Hyperlink"/>
          </w:rPr>
          <w:t xml:space="preserve">Table 1</w:t>
        </w:r>
      </w:hyperlink>
      <w:r>
        <w:t xml:space="preserve">).</w:t>
      </w:r>
    </w:p>
    <w:bookmarkStart w:id="30" w:name="tbl-table1"/>
    <w:p>
      <w:pPr>
        <w:pStyle w:val="FigureTitle"/>
      </w:pPr>
      <w:r>
        <w:t xml:space="preserve">Table 1</w:t>
      </w:r>
    </w:p>
    <w:p>
      <w:pPr>
        <w:pStyle w:val="Caption"/>
      </w:pPr>
      <w:r>
        <w:t xml:space="preserve">Study Design Table</w:t>
      </w:r>
    </w:p>
    <w:tbl>
      <w:tblPr>
        <w:tblStyle w:val="Table"/>
        <w:tblW w:type="pct" w:w="5000"/>
        <w:tblLayout w:type="fixed"/>
        <w:tblLook w:firstRow="1" w:lastRow="0" w:firstColumn="0" w:lastColumn="0" w:noHBand="0" w:noVBand="0" w:val="0020"/>
      </w:tblPr>
      <w:tblGrid>
        <w:gridCol w:w="1192"/>
        <w:gridCol w:w="1159"/>
        <w:gridCol w:w="1075"/>
        <w:gridCol w:w="1612"/>
        <w:gridCol w:w="1066"/>
        <w:gridCol w:w="571"/>
        <w:gridCol w:w="1243"/>
      </w:tblGrid>
      <w:tr>
        <w:trPr>
          <w:tblHeader w:val="on"/>
        </w:trPr>
        <w:tc>
          <w:tcPr/>
          <w:p>
            <w:pPr>
              <w:pStyle w:val="Compact"/>
              <w:jc w:val="left"/>
            </w:pPr>
            <w:r>
              <w:rPr>
                <w:b/>
                <w:bCs/>
              </w:rPr>
              <w:t xml:space="preserve">Question</w:t>
            </w:r>
          </w:p>
        </w:tc>
        <w:tc>
          <w:tcPr/>
          <w:p>
            <w:pPr>
              <w:pStyle w:val="Compact"/>
              <w:jc w:val="left"/>
            </w:pPr>
            <w:r>
              <w:rPr>
                <w:b/>
                <w:bCs/>
              </w:rPr>
              <w:t xml:space="preserve">Hypothesis</w:t>
            </w:r>
          </w:p>
        </w:tc>
        <w:tc>
          <w:tcPr/>
          <w:p>
            <w:pPr>
              <w:pStyle w:val="Compact"/>
              <w:jc w:val="left"/>
            </w:pPr>
            <w:r>
              <w:rPr>
                <w:b/>
                <w:bCs/>
              </w:rPr>
              <w:t xml:space="preserve">Sampling Plan</w:t>
            </w:r>
          </w:p>
        </w:tc>
        <w:tc>
          <w:tcPr/>
          <w:p>
            <w:pPr>
              <w:pStyle w:val="Compact"/>
              <w:jc w:val="left"/>
            </w:pPr>
            <w:r>
              <w:rPr>
                <w:b/>
                <w:bCs/>
              </w:rPr>
              <w:t xml:space="preserve">Analysis Plan</w:t>
            </w:r>
          </w:p>
        </w:tc>
        <w:tc>
          <w:tcPr/>
          <w:p>
            <w:pPr>
              <w:pStyle w:val="Compact"/>
              <w:jc w:val="left"/>
            </w:pPr>
            <w:r>
              <w:rPr>
                <w:b/>
                <w:bCs/>
              </w:rPr>
              <w:t xml:space="preserve">Rationale for Deciding the Sensitivity of the Test</w:t>
            </w:r>
          </w:p>
        </w:tc>
        <w:tc>
          <w:tcPr/>
          <w:p>
            <w:pPr>
              <w:pStyle w:val="Compact"/>
              <w:jc w:val="left"/>
            </w:pPr>
            <w:r>
              <w:rPr>
                <w:b/>
                <w:bCs/>
              </w:rPr>
              <w:t xml:space="preserve">Interpretation Given Different Outcomes</w:t>
            </w:r>
          </w:p>
        </w:tc>
        <w:tc>
          <w:tcPr/>
          <w:p>
            <w:pPr>
              <w:pStyle w:val="Compact"/>
              <w:jc w:val="left"/>
            </w:pPr>
            <w:r>
              <w:rPr>
                <w:b/>
                <w:bCs/>
              </w:rPr>
              <w:t xml:space="preserve">Theory That Could Be Shown Wrong by the Outcomes</w:t>
            </w:r>
          </w:p>
        </w:tc>
      </w:tr>
      <w:tr>
        <w:tc>
          <w:tcPr/>
          <w:p>
            <w:pPr>
              <w:pStyle w:val="Compact"/>
              <w:jc w:val="left"/>
            </w:pPr>
            <w:r>
              <w:t xml:space="preserve">Is there a correlation between trait phenomenological control (PC) and visual illusion (VI) sensitivity?</w:t>
            </w:r>
          </w:p>
        </w:tc>
        <w:tc>
          <w:tcPr/>
          <w:p>
            <w:pPr>
              <w:pStyle w:val="Compact"/>
              <w:jc w:val="left"/>
            </w:pPr>
            <w:r>
              <w:t xml:space="preserve">Replicating findings from Lush et al., 2022 paper, we expect evidence of favour of an absence of relationship between VI and PCS</w:t>
            </w:r>
          </w:p>
        </w:tc>
        <w:tc>
          <w:tcPr/>
          <w:p>
            <w:pPr>
              <w:pStyle w:val="Compact"/>
              <w:jc w:val="left"/>
            </w:pPr>
            <w:r>
              <w:t xml:space="preserve">The goal is to recruit around 500 adult English speakers using Prolific. This sample size is based on the ones used in Lush et al., 2021 and Lush et al., 2022 that we aim at replicate.</w:t>
            </w:r>
          </w:p>
        </w:tc>
        <w:tc>
          <w:tcPr/>
          <w:p>
            <w:pPr>
              <w:pStyle w:val="Compact"/>
              <w:jc w:val="left"/>
            </w:pPr>
            <w:r>
              <w:t xml:space="preserve">Bayesian correlations between the PC score and the VI performance for the 3 illusion types (corresponding to the error rate) will be computed using the</w:t>
            </w:r>
            <w:r>
              <w:t xml:space="preserve"> </w:t>
            </w:r>
            <w:r>
              <w:rPr>
                <w:rStyle w:val="VerbatimChar"/>
              </w:rPr>
              <w:t xml:space="preserve">BayesFactor::BFCorrelation()</w:t>
            </w:r>
            <w:r>
              <w:t xml:space="preserve"> </w:t>
            </w:r>
            <w:r>
              <w:t xml:space="preserve">function (with the r-scale prior parameter set to</w:t>
            </w:r>
            <w:r>
              <w:t xml:space="preserve"> </w:t>
            </w:r>
            <w:r>
              <w:t xml:space="preserve">‘</w:t>
            </w:r>
            <w:r>
              <w:t xml:space="preserve">medium</w:t>
            </w:r>
            <w:r>
              <w:t xml:space="preserve">’</w:t>
            </w:r>
            <w:r>
              <w:t xml:space="preserve">)</w:t>
            </w:r>
          </w:p>
        </w:tc>
        <w:tc>
          <w:tcPr/>
          <w:p>
            <w:pPr>
              <w:pStyle w:val="Compact"/>
              <w:jc w:val="left"/>
            </w:pPr>
            <w:r>
              <w:t xml:space="preserve">Evidence against a relationship between PC and VI will be found if BF10 &lt;= 1/3, following the Lush et al., 2022 findings. BF10 &gt; 3 will be interpreted as evidence for a relationship between these two measures.</w:t>
            </w:r>
          </w:p>
        </w:tc>
        <w:tc>
          <w:tcPr/>
          <w:p>
            <w:pPr>
              <w:pStyle w:val="Compact"/>
              <w:jc w:val="left"/>
            </w:pPr>
            <w:r>
              <w:t xml:space="preserve">The hypothesis that VI sensitivity is independent from PC.</w:t>
            </w:r>
          </w:p>
        </w:tc>
        <w:tc>
          <w:tcPr/>
          <w:p>
            <w:pPr>
              <w:pStyle w:val="Compact"/>
              <w:jc w:val="left"/>
            </w:pPr>
            <w:r>
              <w:t xml:space="preserve">The cognitive impenetrability of illusions, implying that the effect is driven by low-level processes and therefore not influenced by top-down mechanisms such as PC.</w:t>
            </w:r>
          </w:p>
        </w:tc>
      </w:tr>
    </w:tbl>
    <w:bookmarkEnd w:id="30"/>
    <w:bookmarkEnd w:id="31"/>
    <w:bookmarkStart w:id="37"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bookmarkEnd w:id="32"/>
    <w:bookmarkStart w:id="35"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 The online experiment, implemented entirely using JsPsych</w:t>
      </w:r>
      <w:r>
        <w:t xml:space="preserve"> </w:t>
      </w:r>
      <w:r>
        <w:t xml:space="preserve">(De Leeuw, 2015)</w:t>
      </w:r>
      <w:r>
        <w:t xml:space="preserve">, has its code stored on GitHub and will leverage the power of the platform to host the experiment for free.</w:t>
      </w:r>
      <w:r>
        <w:t xml:space="preserve"> </w:t>
      </w:r>
      <w:r>
        <w:rPr>
          <w:b/>
          <w:bCs/>
        </w:rPr>
        <w:t xml:space="preserve">Participant’s raw data files (containing identifiers) is automatically stored in a private OSF repository. 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directly not analyzed in the current study, they will be used to provide to provide a detailed and thorough description of the sample and maximizing data reusability.</w:t>
      </w:r>
      <w:r>
        <w:t xml:space="preserve">. 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 Once the 10 suggestions are completed, participants will be asked to rate their subjective experiences and response to each suggestion on a 6-points Likert scale. Phenomenological control will be indexed by averaging the scores from the 10 scales.</w:t>
      </w:r>
    </w:p>
    <w:bookmarkEnd w:id="33"/>
    <w:bookmarkStart w:id="34"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r>
        <w:t xml:space="preserve"> </w:t>
      </w:r>
      <w:r>
        <w:rPr>
          <w:b/>
          <w:bCs/>
        </w:rPr>
        <w:t xml:space="preserve">To mitigate for the potential variability in the speed/accuracy trade-off, the instructions emphasize with equal weight to be fast and to avoid errors</w:t>
      </w:r>
      <w:r>
        <w:t xml:space="preserve">.</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r>
        <w:t xml:space="preserve"> </w:t>
      </w:r>
      <w:r>
        <w:rPr>
          <w:b/>
          <w:bCs/>
        </w:rPr>
        <w:t xml:space="preserve">These questionnaires are included as a way of providing a break between the two cognitively taxing blocks and maintain paradigmatic consistency with previous studies</w:t>
      </w:r>
      <w:r>
        <w:rPr>
          <w:b/>
          <w:bCs/>
        </w:rPr>
        <w:t xml:space="preserve"> </w:t>
      </w:r>
      <w:r>
        <w:rPr>
          <w:b/>
          <w:bCs/>
        </w:rPr>
        <w:t xml:space="preserve">(Makowski et al., 2023)</w:t>
      </w:r>
      <w:r>
        <w:t xml:space="preserve">.</w:t>
      </w:r>
    </w:p>
    <w:bookmarkEnd w:id="34"/>
    <w:bookmarkEnd w:id="35"/>
    <w:bookmarkStart w:id="36" w:name="data-analysis"/>
    <w:p>
      <w:pPr>
        <w:pStyle w:val="Heading2"/>
      </w:pPr>
      <w:r>
        <w:t xml:space="preserve">Data Analysis</w:t>
      </w:r>
    </w:p>
    <w:p>
      <w:pPr>
        <w:pStyle w:val="FirstParagraph"/>
      </w:pPr>
      <w:r>
        <w:t xml:space="preserve">The PCS will contain several manipulation check indices to identify problematic participants. Participants should not answer</w:t>
      </w:r>
      <w:r>
        <w:t xml:space="preserve"> </w:t>
      </w:r>
      <w:r>
        <w:t xml:space="preserve">“</w:t>
      </w:r>
      <w:r>
        <w:t xml:space="preserve">no balls were presented</w:t>
      </w:r>
      <w:r>
        <w:t xml:space="preserve">”</w:t>
      </w:r>
      <w:r>
        <w:t xml:space="preserve"> </w:t>
      </w:r>
      <w:r>
        <w:t xml:space="preserve">when queried about the colour they observed on the screen following the negative visual hallucination suggestion, and should execute at least 5 space presses upon instructions to do so.</w:t>
      </w:r>
    </w:p>
    <w:p>
      <w:pPr>
        <w:pStyle w:val="BodyText"/>
      </w:pPr>
      <w:r>
        <w:t xml:space="preserve">Illusion Game outliers will be flagged based on their RT distributions, following the same procedure as in</w:t>
      </w:r>
      <w:r>
        <w:t xml:space="preserve"> </w:t>
      </w:r>
      <w:r>
        <w:t xml:space="preserve">(Makowski et al., 2023)</w:t>
      </w:r>
      <w:r>
        <w:t xml:space="preserve">.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
          <w:iCs/>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
          <w:iCs/>
        </w:rPr>
        <w:t xml:space="preserve">https://github.com/RealityBending/IllusionGamePhenomenologicalControl</w:t>
      </w:r>
      <w:r>
        <w:t xml:space="preserve">.</w:t>
      </w:r>
    </w:p>
    <w:bookmarkEnd w:id="36"/>
    <w:bookmarkEnd w:id="37"/>
    <w:bookmarkStart w:id="38" w:name="results"/>
    <w:p>
      <w:pPr>
        <w:pStyle w:val="Heading1"/>
      </w:pPr>
      <w:r>
        <w:t xml:space="preserve">Results</w:t>
      </w:r>
    </w:p>
    <w:p>
      <w:pPr>
        <w:pStyle w:val="FirstParagraph"/>
      </w:pPr>
      <w:r>
        <w:rPr>
          <w:i/>
          <w:iCs/>
        </w:rPr>
        <w:t xml:space="preserve">This section will be completed after data is collected.</w:t>
      </w:r>
    </w:p>
    <w:bookmarkEnd w:id="38"/>
    <w:bookmarkStart w:id="39" w:name="discussion"/>
    <w:p>
      <w:pPr>
        <w:pStyle w:val="Heading1"/>
      </w:pPr>
      <w:r>
        <w:t xml:space="preserve">Discussion</w:t>
      </w:r>
    </w:p>
    <w:p>
      <w:pPr>
        <w:pStyle w:val="FirstParagraph"/>
      </w:pPr>
      <w:r>
        <w:rPr>
          <w:i/>
          <w:iCs/>
        </w:rPr>
        <w:t xml:space="preserve">This section will be completed after data is collected.</w:t>
      </w:r>
    </w:p>
    <w:bookmarkEnd w:id="39"/>
    <w:bookmarkStart w:id="40" w:name="data-availability"/>
    <w:p>
      <w:pPr>
        <w:pStyle w:val="Heading1"/>
      </w:pPr>
      <w:r>
        <w:t xml:space="preserve">Data Availability</w:t>
      </w:r>
    </w:p>
    <w:p>
      <w:pPr>
        <w:pStyle w:val="FirstParagraph"/>
      </w:pPr>
      <w:r>
        <w:t xml:space="preserve">All the study materials, experiment, data, and analysis is available on GitHub at https://github.com/RealityBending/IllusionGamePhenomenologicalControl</w:t>
      </w:r>
    </w:p>
    <w:bookmarkEnd w:id="40"/>
    <w:bookmarkStart w:id="41"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1"/>
    <w:bookmarkStart w:id="97" w:name="references"/>
    <w:p>
      <w:pPr>
        <w:pStyle w:val="Heading1"/>
      </w:pPr>
      <w:r>
        <w:t xml:space="preserve">References</w:t>
      </w:r>
    </w:p>
    <w:bookmarkStart w:id="96" w:name="refs"/>
    <w:bookmarkStart w:id="43"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2">
        <w:r>
          <w:rPr>
            <w:rStyle w:val="Hyperlink"/>
          </w:rPr>
          <w:t xml:space="preserve">https://doi.org/10.1016/j.schres.2022.12.030</w:t>
        </w:r>
      </w:hyperlink>
    </w:p>
    <w:bookmarkEnd w:id="43"/>
    <w:bookmarkStart w:id="44"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44"/>
    <w:bookmarkStart w:id="46"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45">
        <w:r>
          <w:rPr>
            <w:rStyle w:val="Hyperlink"/>
          </w:rPr>
          <w:t xml:space="preserve">https://doi.org/10.3758/s13428-023-02161-x</w:t>
        </w:r>
      </w:hyperlink>
    </w:p>
    <w:bookmarkEnd w:id="46"/>
    <w:bookmarkStart w:id="48"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47">
        <w:r>
          <w:rPr>
            <w:rStyle w:val="Hyperlink"/>
          </w:rPr>
          <w:t xml:space="preserve">https://doi.org/10.1037/cns0000230</w:t>
        </w:r>
      </w:hyperlink>
    </w:p>
    <w:bookmarkEnd w:id="48"/>
    <w:bookmarkStart w:id="50"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49">
        <w:r>
          <w:rPr>
            <w:rStyle w:val="Hyperlink"/>
          </w:rPr>
          <w:t xml:space="preserve">https://doi.org/10.1038/nrn2787</w:t>
        </w:r>
      </w:hyperlink>
    </w:p>
    <w:bookmarkEnd w:id="50"/>
    <w:bookmarkStart w:id="52"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1">
        <w:r>
          <w:rPr>
            <w:rStyle w:val="Hyperlink"/>
          </w:rPr>
          <w:t xml:space="preserve">https://doi.org/10.1162/neco_a_00226</w:t>
        </w:r>
      </w:hyperlink>
    </w:p>
    <w:bookmarkEnd w:id="52"/>
    <w:bookmarkStart w:id="54"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3">
        <w:r>
          <w:rPr>
            <w:rStyle w:val="Hyperlink"/>
          </w:rPr>
          <w:t xml:space="preserve">https://doi.org/10.3389/fnhum.2016.00175</w:t>
        </w:r>
      </w:hyperlink>
    </w:p>
    <w:bookmarkEnd w:id="54"/>
    <w:bookmarkStart w:id="56"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55">
        <w:r>
          <w:rPr>
            <w:rStyle w:val="Hyperlink"/>
          </w:rPr>
          <w:t xml:space="preserve">https://doi.org/10.1080/00223891.2011.577478</w:t>
        </w:r>
      </w:hyperlink>
    </w:p>
    <w:bookmarkEnd w:id="56"/>
    <w:bookmarkStart w:id="58"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57">
        <w:r>
          <w:rPr>
            <w:rStyle w:val="Hyperlink"/>
          </w:rPr>
          <w:t xml:space="preserve">https://doi.org/10.21105/joss.02445</w:t>
        </w:r>
      </w:hyperlink>
    </w:p>
    <w:bookmarkEnd w:id="58"/>
    <w:bookmarkStart w:id="60"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59">
        <w:r>
          <w:rPr>
            <w:rStyle w:val="Hyperlink"/>
          </w:rPr>
          <w:t xml:space="preserve">https://easystats.github.io/easystats/</w:t>
        </w:r>
      </w:hyperlink>
    </w:p>
    <w:bookmarkEnd w:id="60"/>
    <w:bookmarkStart w:id="62"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1">
        <w:r>
          <w:rPr>
            <w:rStyle w:val="Hyperlink"/>
          </w:rPr>
          <w:t xml:space="preserve">https://doi.org/10.1093/nc/niy006</w:t>
        </w:r>
      </w:hyperlink>
    </w:p>
    <w:bookmarkEnd w:id="62"/>
    <w:bookmarkStart w:id="64"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3">
        <w:r>
          <w:rPr>
            <w:rStyle w:val="Hyperlink"/>
          </w:rPr>
          <w:t xml:space="preserve">https://doi.org/10.1525/collabra.29542</w:t>
        </w:r>
      </w:hyperlink>
    </w:p>
    <w:bookmarkEnd w:id="64"/>
    <w:bookmarkStart w:id="66"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65">
        <w:r>
          <w:rPr>
            <w:rStyle w:val="Hyperlink"/>
          </w:rPr>
          <w:t xml:space="preserve">http://dx.doi.org/10.31234/osf.io/hw4y9</w:t>
        </w:r>
      </w:hyperlink>
    </w:p>
    <w:bookmarkEnd w:id="66"/>
    <w:bookmarkStart w:id="68"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67">
        <w:r>
          <w:rPr>
            <w:rStyle w:val="Hyperlink"/>
          </w:rPr>
          <w:t xml:space="preserve">https://doi.org/10.21105/joss.01541</w:t>
        </w:r>
      </w:hyperlink>
    </w:p>
    <w:bookmarkEnd w:id="68"/>
    <w:bookmarkStart w:id="70"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69">
        <w:r>
          <w:rPr>
            <w:rStyle w:val="Hyperlink"/>
          </w:rPr>
          <w:t xml:space="preserve">https://doi.org/10.1177/03010066211057347</w:t>
        </w:r>
      </w:hyperlink>
    </w:p>
    <w:bookmarkEnd w:id="70"/>
    <w:bookmarkStart w:id="72"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1">
        <w:r>
          <w:rPr>
            <w:rStyle w:val="Hyperlink"/>
          </w:rPr>
          <w:t xml:space="preserve">https://doi.org/10.1038/s41598-023-33148-5</w:t>
        </w:r>
      </w:hyperlink>
    </w:p>
    <w:bookmarkEnd w:id="72"/>
    <w:bookmarkStart w:id="74"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3">
        <w:r>
          <w:rPr>
            <w:rStyle w:val="Hyperlink"/>
          </w:rPr>
          <w:t xml:space="preserve">https://CRAN.R-project.org/package=correlation</w:t>
        </w:r>
      </w:hyperlink>
    </w:p>
    <w:bookmarkEnd w:id="74"/>
    <w:bookmarkStart w:id="76"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75">
        <w:r>
          <w:rPr>
            <w:rStyle w:val="Hyperlink"/>
          </w:rPr>
          <w:t xml:space="preserve">https://doi.org/10.1002/aur.130</w:t>
        </w:r>
      </w:hyperlink>
    </w:p>
    <w:bookmarkEnd w:id="76"/>
    <w:bookmarkStart w:id="78"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77">
        <w:r>
          <w:rPr>
            <w:rStyle w:val="Hyperlink"/>
          </w:rPr>
          <w:t xml:space="preserve">https://CRAN.R-project.org/package=BayesFactor</w:t>
        </w:r>
      </w:hyperlink>
    </w:p>
    <w:bookmarkEnd w:id="78"/>
    <w:bookmarkStart w:id="80"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79">
        <w:r>
          <w:rPr>
            <w:rStyle w:val="Hyperlink"/>
          </w:rPr>
          <w:t xml:space="preserve">https://doi.org/10.3389/fnint.2014.00063</w:t>
        </w:r>
      </w:hyperlink>
    </w:p>
    <w:bookmarkEnd w:id="80"/>
    <w:bookmarkStart w:id="82"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1">
        <w:r>
          <w:rPr>
            <w:rStyle w:val="Hyperlink"/>
          </w:rPr>
          <w:t xml:space="preserve">https://doi.org/10.1037/bul0000097</w:t>
        </w:r>
      </w:hyperlink>
    </w:p>
    <w:bookmarkEnd w:id="82"/>
    <w:bookmarkStart w:id="84"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83">
        <w:r>
          <w:rPr>
            <w:rStyle w:val="Hyperlink"/>
          </w:rPr>
          <w:t xml:space="preserve">https://doi.org/10.21105/joss.04684</w:t>
        </w:r>
      </w:hyperlink>
    </w:p>
    <w:bookmarkEnd w:id="84"/>
    <w:bookmarkStart w:id="86"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85">
        <w:r>
          <w:rPr>
            <w:rStyle w:val="Hyperlink"/>
          </w:rPr>
          <w:t xml:space="preserve">https://doi.org/10.1007/s11055-014-9978-2</w:t>
        </w:r>
      </w:hyperlink>
    </w:p>
    <w:bookmarkEnd w:id="86"/>
    <w:bookmarkStart w:id="87"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87"/>
    <w:bookmarkStart w:id="89"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88">
        <w:r>
          <w:rPr>
            <w:rStyle w:val="Hyperlink"/>
          </w:rPr>
          <w:t xml:space="preserve">https://doi.org/10.1167/8.5.12</w:t>
        </w:r>
      </w:hyperlink>
    </w:p>
    <w:bookmarkEnd w:id="89"/>
    <w:bookmarkStart w:id="91"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
          <w:iCs/>
        </w:rPr>
        <w:t xml:space="preserve">Behavior Research Methods</w:t>
      </w:r>
      <w:r>
        <w:t xml:space="preserve">.</w:t>
      </w:r>
      <w:r>
        <w:t xml:space="preserve"> </w:t>
      </w:r>
      <w:hyperlink r:id="rId90">
        <w:r>
          <w:rPr>
            <w:rStyle w:val="Hyperlink"/>
          </w:rPr>
          <w:t xml:space="preserve">https://doi.org/10.3758/s13428-024-02356-w</w:t>
        </w:r>
      </w:hyperlink>
    </w:p>
    <w:bookmarkEnd w:id="91"/>
    <w:bookmarkStart w:id="93"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92">
        <w:r>
          <w:rPr>
            <w:rStyle w:val="Hyperlink"/>
          </w:rPr>
          <w:t xml:space="preserve">https://doi.org/10.1177/0301006620962279</w:t>
        </w:r>
      </w:hyperlink>
    </w:p>
    <w:bookmarkEnd w:id="93"/>
    <w:bookmarkStart w:id="95"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94">
        <w:r>
          <w:rPr>
            <w:rStyle w:val="Hyperlink"/>
          </w:rPr>
          <w:t xml:space="preserve">https://doi.org/10.21105/joss.01686</w:t>
        </w:r>
      </w:hyperlink>
    </w:p>
    <w:bookmarkEnd w:id="95"/>
    <w:bookmarkEnd w:id="96"/>
    <w:sectPr>
      <w:lnNumType w:countBy="1" w:restart="continuous"/>
    </w:sectPr>
    <w:bookmarkEnd w:id="97"/>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31234/osf.io/hw4y9" TargetMode="External" /><Relationship Type="http://schemas.openxmlformats.org/officeDocument/2006/relationships/hyperlink" Id="rId77" Target="https://CRAN.R-project.org/package=BayesFactor" TargetMode="External" /><Relationship Type="http://schemas.openxmlformats.org/officeDocument/2006/relationships/hyperlink" Id="rId73" Target="https://CRAN.R-project.org/package=correlation" TargetMode="External" /><Relationship Type="http://schemas.openxmlformats.org/officeDocument/2006/relationships/hyperlink" Id="rId75" Target="https://doi.org/10.1002/aur.130" TargetMode="External" /><Relationship Type="http://schemas.openxmlformats.org/officeDocument/2006/relationships/hyperlink" Id="rId85"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81" Target="https://doi.org/10.1037/bul0000097" TargetMode="External" /><Relationship Type="http://schemas.openxmlformats.org/officeDocument/2006/relationships/hyperlink" Id="rId47" Target="https://doi.org/10.1037/cns0000230" TargetMode="External" /><Relationship Type="http://schemas.openxmlformats.org/officeDocument/2006/relationships/hyperlink" Id="rId49" Target="https://doi.org/10.1038/nrn2787" TargetMode="External" /><Relationship Type="http://schemas.openxmlformats.org/officeDocument/2006/relationships/hyperlink" Id="rId71" Target="https://doi.org/10.1038/s41598-023-33148-5" TargetMode="External" /><Relationship Type="http://schemas.openxmlformats.org/officeDocument/2006/relationships/hyperlink" Id="rId55" Target="https://doi.org/10.1080/00223891.2011.577478" TargetMode="External" /><Relationship Type="http://schemas.openxmlformats.org/officeDocument/2006/relationships/hyperlink" Id="rId61" Target="https://doi.org/10.1093/nc/niy006" TargetMode="External" /><Relationship Type="http://schemas.openxmlformats.org/officeDocument/2006/relationships/hyperlink" Id="rId51" Target="https://doi.org/10.1162/neco_a_00226" TargetMode="External" /><Relationship Type="http://schemas.openxmlformats.org/officeDocument/2006/relationships/hyperlink" Id="rId88" Target="https://doi.org/10.1167/8.5.12" TargetMode="External" /><Relationship Type="http://schemas.openxmlformats.org/officeDocument/2006/relationships/hyperlink" Id="rId92" Target="https://doi.org/10.1177/0301006620962279" TargetMode="External" /><Relationship Type="http://schemas.openxmlformats.org/officeDocument/2006/relationships/hyperlink" Id="rId69" Target="https://doi.org/10.1177/03010066211057347" TargetMode="External" /><Relationship Type="http://schemas.openxmlformats.org/officeDocument/2006/relationships/hyperlink" Id="rId63" Target="https://doi.org/10.1525/collabra.29542" TargetMode="External" /><Relationship Type="http://schemas.openxmlformats.org/officeDocument/2006/relationships/hyperlink" Id="rId67" Target="https://doi.org/10.21105/joss.01541" TargetMode="External" /><Relationship Type="http://schemas.openxmlformats.org/officeDocument/2006/relationships/hyperlink" Id="rId94" Target="https://doi.org/10.21105/joss.01686" TargetMode="External" /><Relationship Type="http://schemas.openxmlformats.org/officeDocument/2006/relationships/hyperlink" Id="rId57" Target="https://doi.org/10.21105/joss.02445" TargetMode="External" /><Relationship Type="http://schemas.openxmlformats.org/officeDocument/2006/relationships/hyperlink" Id="rId83" Target="https://doi.org/10.21105/joss.04684" TargetMode="External" /><Relationship Type="http://schemas.openxmlformats.org/officeDocument/2006/relationships/hyperlink" Id="rId53" Target="https://doi.org/10.3389/fnhum.2016.00175" TargetMode="External" /><Relationship Type="http://schemas.openxmlformats.org/officeDocument/2006/relationships/hyperlink" Id="rId79" Target="https://doi.org/10.3389/fnint.2014.00063" TargetMode="External" /><Relationship Type="http://schemas.openxmlformats.org/officeDocument/2006/relationships/hyperlink" Id="rId45" Target="https://doi.org/10.3758/s13428-023-02161-x" TargetMode="External" /><Relationship Type="http://schemas.openxmlformats.org/officeDocument/2006/relationships/hyperlink" Id="rId90" Target="https://doi.org/10.3758/s13428-024-02356-w" TargetMode="External" /><Relationship Type="http://schemas.openxmlformats.org/officeDocument/2006/relationships/hyperlink" Id="rId59"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2025-02-28T13:12:54Z</dcterms:created>
  <dcterms:modified xsi:type="dcterms:W3CDTF">2025-02-28T13:12:54Z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