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F06DB" w14:textId="77777777" w:rsidR="00D80212" w:rsidRDefault="00000000">
      <w:pPr>
        <w:pStyle w:val="FirstParagraph"/>
      </w:pPr>
      <w:r>
        <w:t xml:space="preserve"> </w:t>
      </w:r>
    </w:p>
    <w:p w14:paraId="5BDF06DC" w14:textId="77777777" w:rsidR="00D80212" w:rsidRDefault="00000000">
      <w:pPr>
        <w:pStyle w:val="BodyText"/>
      </w:pPr>
      <w:r>
        <w:t xml:space="preserve"> </w:t>
      </w:r>
    </w:p>
    <w:p w14:paraId="5BDF06DD" w14:textId="77777777" w:rsidR="00D80212" w:rsidRDefault="00000000">
      <w:pPr>
        <w:pStyle w:val="Heading1"/>
      </w:pPr>
      <w:bookmarkStart w:id="0" w:name="title"/>
      <w:r>
        <w:t>Testing the Relationship between Phenomenological Control related to Illusion Sensitivity</w:t>
      </w:r>
    </w:p>
    <w:p w14:paraId="5BDF06DE" w14:textId="77777777" w:rsidR="00D80212" w:rsidRDefault="00000000">
      <w:pPr>
        <w:pStyle w:val="Author"/>
      </w:pPr>
      <w:r>
        <w:t xml:space="preserve"> </w:t>
      </w:r>
    </w:p>
    <w:p w14:paraId="5BDF06DF" w14:textId="77777777" w:rsidR="00D80212" w:rsidRDefault="00000000">
      <w:pPr>
        <w:pStyle w:val="Author"/>
      </w:pPr>
      <w:r>
        <w:t>Dominique Makowski and Ana Neves</w:t>
      </w:r>
    </w:p>
    <w:p w14:paraId="5BDF06E0" w14:textId="77777777" w:rsidR="00D80212" w:rsidRDefault="00000000">
      <w:pPr>
        <w:pStyle w:val="Author"/>
      </w:pPr>
      <w:r>
        <w:t>School of Psychology, University of Sussex</w:t>
      </w:r>
    </w:p>
    <w:p w14:paraId="5BDF06E1" w14:textId="77777777" w:rsidR="00D80212" w:rsidRDefault="00000000">
      <w:pPr>
        <w:pStyle w:val="BodyText"/>
      </w:pPr>
      <w:r>
        <w:t xml:space="preserve"> </w:t>
      </w:r>
    </w:p>
    <w:p w14:paraId="5BDF06E2" w14:textId="77777777" w:rsidR="00D80212" w:rsidRDefault="00000000">
      <w:pPr>
        <w:pStyle w:val="BodyText"/>
      </w:pPr>
      <w:r>
        <w:t xml:space="preserve"> </w:t>
      </w:r>
    </w:p>
    <w:p w14:paraId="5BDF06E3" w14:textId="77777777" w:rsidR="00D80212" w:rsidRDefault="00000000">
      <w:pPr>
        <w:pStyle w:val="Heading1"/>
      </w:pPr>
      <w:bookmarkStart w:id="1" w:name="author-note"/>
      <w:bookmarkEnd w:id="0"/>
      <w:r>
        <w:t>Author Note</w:t>
      </w:r>
    </w:p>
    <w:p w14:paraId="5BDF06E4" w14:textId="77777777" w:rsidR="00D80212" w:rsidRDefault="00000000">
      <w:pPr>
        <w:pStyle w:val="FirstParagraph"/>
      </w:pPr>
      <w:r>
        <w:t xml:space="preserve">Dominique Makowski </w:t>
      </w:r>
      <w:r>
        <w:rPr>
          <w:noProof/>
        </w:rPr>
        <w:drawing>
          <wp:inline distT="0" distB="0" distL="0" distR="0" wp14:anchorId="5BDF073E" wp14:editId="5BDF073F">
            <wp:extent cx="152400" cy="152400"/>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http://orcid.org/0000-0001-5375-9967</w:t>
      </w:r>
    </w:p>
    <w:p w14:paraId="5BDF06E5" w14:textId="77777777" w:rsidR="00D80212" w:rsidRDefault="00000000">
      <w:pPr>
        <w:pStyle w:val="BodyText"/>
      </w:pPr>
      <w:r>
        <w:t xml:space="preserve">Ana Neves </w:t>
      </w:r>
      <w:bookmarkStart w:id="2" w:name="orchid"/>
      <w:r>
        <w:rPr>
          <w:noProof/>
        </w:rPr>
        <w:drawing>
          <wp:inline distT="0" distB="0" distL="0" distR="0" wp14:anchorId="5BDF0740" wp14:editId="5BDF0741">
            <wp:extent cx="152400" cy="152400"/>
            <wp:effectExtent l="0" t="0" r="0" b="0"/>
            <wp:docPr id="25"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6"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
      <w:r>
        <w:t xml:space="preserve"> http://orcid.org/0009-0006-0020-7599</w:t>
      </w:r>
    </w:p>
    <w:p w14:paraId="5BDF06E6" w14:textId="77777777" w:rsidR="00D80212" w:rsidRDefault="00000000">
      <w:pPr>
        <w:pStyle w:val="BodyText"/>
      </w:pPr>
      <w:r>
        <w:t xml:space="preserve">Author roles were classified using the Contributor Role Taxonomy (CRediT; https://credit.niso.org/) as follows: </w:t>
      </w:r>
      <w:r>
        <w:rPr>
          <w:i/>
          <w:iCs/>
        </w:rPr>
        <w:t>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Ana Neves</w:t>
      </w:r>
      <w:r>
        <w:rPr>
          <w:b/>
          <w:bCs/>
        </w:rPr>
        <w:t xml:space="preserve">: </w:t>
      </w:r>
      <w:r>
        <w:t>project administration, data curation, formal analysis, investigation, visualization, writing – original draft, and writing – review &amp; editing</w:t>
      </w:r>
    </w:p>
    <w:p w14:paraId="5BDF06E7" w14:textId="77777777" w:rsidR="00D80212" w:rsidRDefault="00000000">
      <w:pPr>
        <w:pStyle w:val="BodyText"/>
      </w:pPr>
      <w:r>
        <w:t>Correspondence concerning this article should be addressed to Dominique Makowski, School of Psychology, University of Sussex, Email: D.Makowski@sussex.ac.uk</w:t>
      </w:r>
    </w:p>
    <w:p w14:paraId="5BDF06E8" w14:textId="77777777" w:rsidR="00D80212" w:rsidRDefault="00000000">
      <w:r>
        <w:br w:type="page"/>
      </w:r>
    </w:p>
    <w:p w14:paraId="5BDF06E9" w14:textId="77777777" w:rsidR="00D80212" w:rsidRDefault="00000000">
      <w:pPr>
        <w:pStyle w:val="Heading1"/>
      </w:pPr>
      <w:bookmarkStart w:id="3" w:name="abstract"/>
      <w:bookmarkEnd w:id="1"/>
      <w:r>
        <w:lastRenderedPageBreak/>
        <w:t>Abstract</w:t>
      </w:r>
    </w:p>
    <w:p w14:paraId="5BDF06EA" w14:textId="77777777" w:rsidR="00D80212" w:rsidRDefault="00000000">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w:t>
      </w:r>
      <w:r>
        <w:rPr>
          <w:i/>
          <w:iCs/>
        </w:rPr>
        <w:t>[N participants were recruited in an online study. Results will be added in the final version of the manuscript]</w:t>
      </w:r>
      <w:r>
        <w:t>.</w:t>
      </w:r>
    </w:p>
    <w:p w14:paraId="5BDF06EB" w14:textId="77777777" w:rsidR="00D80212" w:rsidRDefault="00000000">
      <w:pPr>
        <w:pStyle w:val="BodyText"/>
      </w:pPr>
      <w:r>
        <w:rPr>
          <w:i/>
          <w:iCs/>
        </w:rPr>
        <w:t>Keywords</w:t>
      </w:r>
      <w:r>
        <w:t>: illusion sensitivity, visual illusions, phenomenological control, suggestibility, hypnotizability</w:t>
      </w:r>
    </w:p>
    <w:p w14:paraId="5BDF06EC" w14:textId="77777777" w:rsidR="00D80212" w:rsidRDefault="00000000">
      <w:r>
        <w:br w:type="page"/>
      </w:r>
    </w:p>
    <w:p w14:paraId="5BDF06ED" w14:textId="77777777" w:rsidR="00D80212" w:rsidRDefault="00000000">
      <w:pPr>
        <w:pStyle w:val="Heading1"/>
      </w:pPr>
      <w:bookmarkStart w:id="4" w:name="firstheader"/>
      <w:bookmarkEnd w:id="3"/>
      <w:r>
        <w:lastRenderedPageBreak/>
        <w:t>Testing the Relationship between Phenomenological Control related to Illusion Sensitivity</w:t>
      </w:r>
    </w:p>
    <w:p w14:paraId="5BDF06EE" w14:textId="77777777" w:rsidR="00D80212" w:rsidRDefault="00000000">
      <w:pPr>
        <w:pStyle w:val="FirstParagraph"/>
      </w:pPr>
      <w:r>
        <w:t>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 In particular, illusions have been recently reframed using a predictive coding account of perception (Notredame et al., 2014) in which the brain optimally combines, using some flavour of Bayesian inference, perceptual inputs with prior knowledge to make sense of ambiguous environments (Friston, 2010).</w:t>
      </w:r>
    </w:p>
    <w:p w14:paraId="5BDF06EF" w14:textId="77777777" w:rsidR="00D80212" w:rsidRDefault="00000000">
      <w:pPr>
        <w:pStyle w:val="BodyText"/>
      </w:pPr>
      <w:r>
        <w:t>Such computational model(s) propose to conceptualize illusions as stimuli providing weak or conflicting sensory evidence (Gershman et al., 2012; Sundareswara &amp; Schrater, 2008) that bias perception toward prior knowledge. In other words, the weight of priors, in the form of perceptual knowledge about the world (e.g., internalized rules of perspective) is amplified when the sensory input is confusing. For instance, in the Müller-Lyer illusion, we “compute” the two (actually identical) lines as being of different lengths because the line flanked with converging fins is misinterpreted as being further away (Notredame et al., 2014). In this context, measuring sensitivity to illusion can be operationalized as indexing the parameters of the Bayesian inference process (e.g., prior precision).</w:t>
      </w:r>
    </w:p>
    <w:p w14:paraId="5BDF06F0" w14:textId="77777777" w:rsidR="00D80212" w:rsidRDefault="00000000">
      <w:pPr>
        <w:pStyle w:val="BodyText"/>
      </w:pPr>
      <w:r>
        <w:t xml:space="preserve">These accounts also provide a compelling framework to explain existing findings reporting interindividual variability in the sensitivity to illusions. Indeed, several studies suggest a potential link with psychopathology, in particular schizophrenia (Costa et al., 2023) and autism (Gori et al., 2016), in which the reported lower sensitivity to illusions has been attributed to a diminished influence of top-down processes such as prior knowledge (Mitchell et al., 2010) and </w:t>
      </w:r>
      <w:r>
        <w:lastRenderedPageBreak/>
        <w:t>a greater emphasis on (i.e., precision of) sensory information (Palmer et al., 2017). Evidence beyond psychopathology also suggests variability in the general population, potentially correlated with personality traits such as agreeableness and honest-humility (Makowski et al., 2023), as well as cognitive abilities (Shoshina &amp; Shelepin, 2014).</w:t>
      </w:r>
    </w:p>
    <w:p w14:paraId="5BDF06F1" w14:textId="77777777" w:rsidR="00D80212" w:rsidRDefault="00000000">
      <w:pPr>
        <w:pStyle w:val="BodyText"/>
      </w:pPr>
      <w:r>
        <w:t>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 (Makowski et al., 2021). Indeed, traditional methods frequently focus on participant’s experience by prompting them to assess the difference between two identical targets, estimate the target’s physical properties, or adjust the targets to match a reference stimulus (Todorović, 2020). Relying on metacognitive judgments about one’s subjective experiences adds an additional layer to the measure that might not be desired when attempting to measure illusion sensibility.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p>
    <w:p w14:paraId="5BDF06F2" w14:textId="77777777" w:rsidR="00D80212" w:rsidRDefault="00000000">
      <w:pPr>
        <w:pStyle w:val="BodyText"/>
      </w:pPr>
      <w:r>
        <w:t xml:space="preserve">The “Illusion Game” paradigm (Makowski et al., 2023) has been recently developed to measure illusion sensitivity to various illusion types through its behavioural impact (on response time and error rate) in a perceptual decision task (where participants have to respond as fast as possible; e.g., “which of the left or right circles is bigger”). The stimuli for different classical illusions are created using the </w:t>
      </w:r>
      <w:r>
        <w:rPr>
          <w:i/>
          <w:iCs/>
        </w:rPr>
        <w:t>Pyllusion</w:t>
      </w:r>
      <w:r>
        <w:t xml:space="preserve"> software (Makowski et al., 2021), which allows researchers to modulate the strength of the illusion as a continuous dimension, independently </w:t>
      </w:r>
      <w:r>
        <w:lastRenderedPageBreak/>
        <w:t>from the difficulty of the perceptual task. This paradigm, inspired by psychophysics, lends itself to the computational modelling of illusion sensitivity through its interference effect, hopefully bypassing some of the metacognitive processes at stake in other paradigms.</w:t>
      </w:r>
    </w:p>
    <w:p w14:paraId="5BDF06F3" w14:textId="77777777" w:rsidR="00D80212" w:rsidRDefault="00000000">
      <w:pPr>
        <w:pStyle w:val="BodyText"/>
      </w:pPr>
      <w:r>
        <w:t>Interestingly, the fact that inter-individual variability in illusion sensitivity seems to persist in this task suggests that it is not solely explained by metacognitive abilities difference, and gives rise to the following question: is the variability in illusion sensitivity related to low-level perceptual processes (e.g., baseline precision of perceptual priors), or rather to the ability to actively control and “resist” the illusion in a top-town fashion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 “phenomenological control”.</w:t>
      </w:r>
    </w:p>
    <w:p w14:paraId="5BDF06F4" w14:textId="77777777" w:rsidR="00D80212" w:rsidRDefault="00000000">
      <w:pPr>
        <w:pStyle w:val="BodyText"/>
      </w:pPr>
      <w:r>
        <w:t>The idea that we are endowed with the potential to unconsciously alter our subjective experience and distort reality - even momentarily - to meet the goals at hand is not novel. While this phenomenon has been historically often studied under the label of “hypnotisability” - the tendency to alter our conscious experience to match external demands (Lush et al., 2021), the term “phenomenological control” (PC) has been recently introduced to disconnect this concept from the potentially negative associations with hypnosis and the misconception that a hypnotic context is necessary for responding to imaginative suggestions (Dienes et al., 2022).</w:t>
      </w:r>
    </w:p>
    <w:p w14:paraId="5BDF06F5" w14:textId="77777777" w:rsidR="00D80212" w:rsidRDefault="00000000">
      <w:pPr>
        <w:pStyle w:val="BodyText"/>
      </w:pPr>
      <w:r>
        <w:t xml:space="preserve">To encourage the empirical exploration of our ability and tendency to alter our phenomenological experience and further accelerate investigations away from the hypnotic </w:t>
      </w:r>
      <w:r>
        <w:lastRenderedPageBreak/>
        <w:t>context, Lush et al. (2021) adapted the Sussex-Waterloo Scale of Hypnotisability (SWASH, Lush et al., 2018) by removing all its references to hypnosis, to measure trait phenomenological control. This newly developed phenomenological control scale (PCS) consists of 10 imaginative suggestions followed by subjective ratings for each suggestion on a 6-point Likert scale and has been demonstrated to be compatible with online experiments (Lush et al., 2022).</w:t>
      </w:r>
    </w:p>
    <w:p w14:paraId="5BDF06F6" w14:textId="77777777" w:rsidR="00D80212" w:rsidRDefault="00000000">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The goal of this study is thus to replicate the results from Lush et al. (2022) pointing to an absence of a relationship between phenomenological control and illusion sensitivity, by generalising them to a different illusion task that encompasses other illusion types (see </w:t>
      </w:r>
      <w:hyperlink w:anchor="tbl-table1">
        <w:r>
          <w:rPr>
            <w:rStyle w:val="Hyperlink"/>
          </w:rPr>
          <w:t>Table 1</w:t>
        </w:r>
      </w:hyperlink>
      <w:r>
        <w:t>). Our paradigm extends that of Lush’s by presenting this task as a gamified paradigm hopefully motivating participants to perform at their best and to remain engaged throughout.</w:t>
      </w:r>
    </w:p>
    <w:p w14:paraId="5BDF06F7" w14:textId="77777777" w:rsidR="00D80212" w:rsidRDefault="00000000">
      <w:pPr>
        <w:pStyle w:val="FigureTitle"/>
      </w:pPr>
      <w:bookmarkStart w:id="5" w:name="tbl-table1"/>
      <w:r>
        <w:lastRenderedPageBreak/>
        <w:t>Table 1</w:t>
      </w:r>
    </w:p>
    <w:p w14:paraId="5BDF06F8" w14:textId="77777777" w:rsidR="00D80212" w:rsidRDefault="00000000">
      <w:pPr>
        <w:pStyle w:val="Caption"/>
      </w:pPr>
      <w:r>
        <w:t>Study Design Table</w:t>
      </w:r>
    </w:p>
    <w:tbl>
      <w:tblPr>
        <w:tblStyle w:val="Table"/>
        <w:tblW w:w="5000" w:type="pct"/>
        <w:tblLayout w:type="fixed"/>
        <w:tblLook w:val="0020" w:firstRow="1" w:lastRow="0" w:firstColumn="0" w:lastColumn="0" w:noHBand="0" w:noVBand="0"/>
      </w:tblPr>
      <w:tblGrid>
        <w:gridCol w:w="1409"/>
        <w:gridCol w:w="1370"/>
        <w:gridCol w:w="1271"/>
        <w:gridCol w:w="1906"/>
        <w:gridCol w:w="1260"/>
        <w:gridCol w:w="675"/>
        <w:gridCol w:w="1469"/>
      </w:tblGrid>
      <w:tr w:rsidR="00D80212" w14:paraId="5BDF0700" w14:textId="77777777" w:rsidTr="00D80212">
        <w:trPr>
          <w:cnfStyle w:val="100000000000" w:firstRow="1" w:lastRow="0" w:firstColumn="0" w:lastColumn="0" w:oddVBand="0" w:evenVBand="0" w:oddHBand="0" w:evenHBand="0" w:firstRowFirstColumn="0" w:firstRowLastColumn="0" w:lastRowFirstColumn="0" w:lastRowLastColumn="0"/>
          <w:tblHeader/>
        </w:trPr>
        <w:tc>
          <w:tcPr>
            <w:tcW w:w="1192" w:type="dxa"/>
          </w:tcPr>
          <w:p w14:paraId="5BDF06F9" w14:textId="77777777" w:rsidR="00D80212" w:rsidRDefault="00000000">
            <w:pPr>
              <w:pStyle w:val="Compact"/>
            </w:pPr>
            <w:r>
              <w:rPr>
                <w:b/>
                <w:bCs/>
              </w:rPr>
              <w:t>Question</w:t>
            </w:r>
          </w:p>
        </w:tc>
        <w:tc>
          <w:tcPr>
            <w:tcW w:w="1159" w:type="dxa"/>
          </w:tcPr>
          <w:p w14:paraId="5BDF06FA" w14:textId="77777777" w:rsidR="00D80212" w:rsidRDefault="00000000">
            <w:pPr>
              <w:pStyle w:val="Compact"/>
            </w:pPr>
            <w:r>
              <w:rPr>
                <w:b/>
                <w:bCs/>
              </w:rPr>
              <w:t>Hypothesis</w:t>
            </w:r>
          </w:p>
        </w:tc>
        <w:tc>
          <w:tcPr>
            <w:tcW w:w="1075" w:type="dxa"/>
          </w:tcPr>
          <w:p w14:paraId="5BDF06FB" w14:textId="77777777" w:rsidR="00D80212" w:rsidRDefault="00000000">
            <w:pPr>
              <w:pStyle w:val="Compact"/>
            </w:pPr>
            <w:r>
              <w:rPr>
                <w:b/>
                <w:bCs/>
              </w:rPr>
              <w:t>Sampling Plan</w:t>
            </w:r>
          </w:p>
        </w:tc>
        <w:tc>
          <w:tcPr>
            <w:tcW w:w="1612" w:type="dxa"/>
          </w:tcPr>
          <w:p w14:paraId="5BDF06FC" w14:textId="77777777" w:rsidR="00D80212" w:rsidRDefault="00000000">
            <w:pPr>
              <w:pStyle w:val="Compact"/>
            </w:pPr>
            <w:r>
              <w:rPr>
                <w:b/>
                <w:bCs/>
              </w:rPr>
              <w:t>Analysis Plan</w:t>
            </w:r>
          </w:p>
        </w:tc>
        <w:tc>
          <w:tcPr>
            <w:tcW w:w="1066" w:type="dxa"/>
          </w:tcPr>
          <w:p w14:paraId="5BDF06FD" w14:textId="77777777" w:rsidR="00D80212" w:rsidRDefault="00000000">
            <w:pPr>
              <w:pStyle w:val="Compact"/>
            </w:pPr>
            <w:r>
              <w:rPr>
                <w:b/>
                <w:bCs/>
              </w:rPr>
              <w:t>Rationale for Deciding the Sensitivity of the Test</w:t>
            </w:r>
          </w:p>
        </w:tc>
        <w:tc>
          <w:tcPr>
            <w:tcW w:w="571" w:type="dxa"/>
          </w:tcPr>
          <w:p w14:paraId="5BDF06FE" w14:textId="77777777" w:rsidR="00D80212" w:rsidRDefault="00000000">
            <w:pPr>
              <w:pStyle w:val="Compact"/>
            </w:pPr>
            <w:r>
              <w:rPr>
                <w:b/>
                <w:bCs/>
              </w:rPr>
              <w:t>Interpretation Given Different Outcomes</w:t>
            </w:r>
          </w:p>
        </w:tc>
        <w:tc>
          <w:tcPr>
            <w:tcW w:w="1243" w:type="dxa"/>
          </w:tcPr>
          <w:p w14:paraId="5BDF06FF" w14:textId="77777777" w:rsidR="00D80212" w:rsidRDefault="00000000">
            <w:pPr>
              <w:pStyle w:val="Compact"/>
            </w:pPr>
            <w:r>
              <w:rPr>
                <w:b/>
                <w:bCs/>
              </w:rPr>
              <w:t>Theory That Could Be Shown Wrong by the Outcomes</w:t>
            </w:r>
          </w:p>
        </w:tc>
      </w:tr>
      <w:tr w:rsidR="00D80212" w14:paraId="5BDF0708" w14:textId="77777777">
        <w:tc>
          <w:tcPr>
            <w:tcW w:w="1192" w:type="dxa"/>
          </w:tcPr>
          <w:p w14:paraId="5BDF0701" w14:textId="77777777" w:rsidR="00D80212" w:rsidRDefault="00000000">
            <w:pPr>
              <w:pStyle w:val="Compact"/>
            </w:pPr>
            <w:r>
              <w:t>Is there a correlation between trait phenomenological control (PC) and visual illusion (VI) sensitivity?</w:t>
            </w:r>
          </w:p>
        </w:tc>
        <w:tc>
          <w:tcPr>
            <w:tcW w:w="1159" w:type="dxa"/>
          </w:tcPr>
          <w:p w14:paraId="5BDF0702" w14:textId="77777777" w:rsidR="00D80212" w:rsidRDefault="00000000">
            <w:pPr>
              <w:pStyle w:val="Compact"/>
            </w:pPr>
            <w:r>
              <w:t>Replicating findings from Lush et al., 2022 paper, we expect evidence of favour of an absence of relationship between VI and PCS</w:t>
            </w:r>
          </w:p>
        </w:tc>
        <w:tc>
          <w:tcPr>
            <w:tcW w:w="1075" w:type="dxa"/>
          </w:tcPr>
          <w:p w14:paraId="5BDF0703" w14:textId="77777777" w:rsidR="00D80212" w:rsidRDefault="00000000">
            <w:pPr>
              <w:pStyle w:val="Compact"/>
            </w:pPr>
            <w:r>
              <w:t>The goal is to recruit around 500 adult English speakers using Prolific. This sample size is based on the ones used in Lush et al., 2021 and Lush et al., 2022 that we aim at replicate.</w:t>
            </w:r>
          </w:p>
        </w:tc>
        <w:tc>
          <w:tcPr>
            <w:tcW w:w="1612" w:type="dxa"/>
          </w:tcPr>
          <w:p w14:paraId="5BDF0704" w14:textId="77777777" w:rsidR="00D80212" w:rsidRDefault="00000000">
            <w:pPr>
              <w:pStyle w:val="Compact"/>
            </w:pPr>
            <w:r>
              <w:t xml:space="preserve">Bayesian correlations between the PC score and the VI performance for the 3 illusion types (corresponding to the error rate) will be computed using the </w:t>
            </w:r>
            <w:r>
              <w:rPr>
                <w:rStyle w:val="VerbatimChar"/>
              </w:rPr>
              <w:t>BayesFactor::BFCorrelation()</w:t>
            </w:r>
            <w:r>
              <w:t xml:space="preserve"> function (with the r-scale prior parameter set to ‘medium’)</w:t>
            </w:r>
          </w:p>
        </w:tc>
        <w:tc>
          <w:tcPr>
            <w:tcW w:w="1066" w:type="dxa"/>
          </w:tcPr>
          <w:p w14:paraId="5BDF0705" w14:textId="77777777" w:rsidR="00D80212" w:rsidRDefault="00000000">
            <w:pPr>
              <w:pStyle w:val="Compact"/>
            </w:pPr>
            <w:r>
              <w:t>Evidence against a relationship between PC and VI will be found if BF10 &lt;= 1/3, following the Lush et al., 2022 findings. BF10 &gt; 3 will be interpreted as evidence for a relationship between these two measures.</w:t>
            </w:r>
          </w:p>
        </w:tc>
        <w:tc>
          <w:tcPr>
            <w:tcW w:w="571" w:type="dxa"/>
          </w:tcPr>
          <w:p w14:paraId="5BDF0706" w14:textId="77777777" w:rsidR="00D80212" w:rsidRDefault="00000000">
            <w:pPr>
              <w:pStyle w:val="Compact"/>
            </w:pPr>
            <w:r>
              <w:t>The hypothesis that VI sensitivity is independent from PC.</w:t>
            </w:r>
          </w:p>
        </w:tc>
        <w:tc>
          <w:tcPr>
            <w:tcW w:w="1243" w:type="dxa"/>
          </w:tcPr>
          <w:p w14:paraId="5BDF0707" w14:textId="77777777" w:rsidR="00D80212" w:rsidRDefault="00000000">
            <w:pPr>
              <w:pStyle w:val="Compact"/>
            </w:pPr>
            <w:r>
              <w:t>The cognitive impenetrability of illusions, implying that the effect is driven by low-level processes and therefore not influenced by top-down mechanisms such as PC.</w:t>
            </w:r>
          </w:p>
        </w:tc>
      </w:tr>
    </w:tbl>
    <w:p w14:paraId="5BDF0709" w14:textId="77777777" w:rsidR="00D80212" w:rsidRDefault="00000000">
      <w:pPr>
        <w:pStyle w:val="Heading1"/>
      </w:pPr>
      <w:bookmarkStart w:id="6" w:name="methods"/>
      <w:bookmarkEnd w:id="4"/>
      <w:bookmarkEnd w:id="5"/>
      <w:r>
        <w:t>Methods</w:t>
      </w:r>
    </w:p>
    <w:p w14:paraId="5BDF070A" w14:textId="77777777" w:rsidR="00D80212" w:rsidRDefault="00000000">
      <w:pPr>
        <w:pStyle w:val="Heading2"/>
      </w:pPr>
      <w:bookmarkStart w:id="7" w:name="participants"/>
      <w:r>
        <w:t>Participants</w:t>
      </w:r>
    </w:p>
    <w:p w14:paraId="5BDF070B" w14:textId="77777777" w:rsidR="00D80212" w:rsidRDefault="00000000">
      <w:pPr>
        <w:pStyle w:val="FirstParagraph"/>
      </w:pPr>
      <w:r>
        <w:t xml:space="preserve">We aim to recruit around 500 (in line with the sample sizes used in Lush et al., 2021; Lush et al., 2022) adult English native speakers with a desktop device using Prolific (www.prolific.co). Participants will be first presented with an explanatory statement and the </w:t>
      </w:r>
      <w:r>
        <w:lastRenderedPageBreak/>
        <w:t>consent form, and can proceed by pressing a button to confirm they have read and understood the information. This study has been approved by the ethics board of the School of Psychology of the University of Sussex (ER/ASF25/5).</w:t>
      </w:r>
    </w:p>
    <w:p w14:paraId="5BDF070C" w14:textId="77777777" w:rsidR="00D80212" w:rsidRDefault="00000000">
      <w:pPr>
        <w:pStyle w:val="Heading2"/>
      </w:pPr>
      <w:bookmarkStart w:id="8" w:name="procedure"/>
      <w:bookmarkEnd w:id="7"/>
      <w:r>
        <w:t>Procedure</w:t>
      </w:r>
    </w:p>
    <w:p w14:paraId="5BDF070D" w14:textId="77777777" w:rsidR="00D80212" w:rsidRDefault="00000000">
      <w:pPr>
        <w:pStyle w:val="FirstParagraph"/>
      </w:pPr>
      <w:r>
        <w:t>The experiment’s setup follows a modified version of the born-open principle (De Leeuw, 2023), with adjustments made to ensure data privacy, confidentiality and transparency. The online experiment, implemented entirely using JsPsych (De Leeuw, 2015), has its code stored on GitHub and will leverage the power of the platform to host the experiment for free. Participant’s raw data files will be sent directly to a private OSF repository. These files will then undergo pre-processing to anonymize the data by removing any sensitive information, such as Prolific and SONA IDs. The anonymized data will then be saved on GitHub, where it will be accessible for analysis, along with the pre-processing script.</w:t>
      </w:r>
    </w:p>
    <w:p w14:paraId="5BDF070E" w14:textId="77777777" w:rsidR="00D80212" w:rsidRDefault="00000000">
      <w:pPr>
        <w:pStyle w:val="BodyText"/>
      </w:pPr>
      <w:r>
        <w:t>Participants will be presented with a consent form followed by demographic questions (gender, education level, age, and ethnicity). Although these variables are not analyzed in the current study, they will be made available to provide a detailed and thorough description of the sample and to ensure consistency with previous studies using the paradigm (Makowski et al., 2023), as well as maximizing reusability. Participants will then be administered the PCS and the Illusion Game task (IG) in a counterbalanced order.</w:t>
      </w:r>
    </w:p>
    <w:p w14:paraId="5BDF070F" w14:textId="77777777" w:rsidR="00D80212" w:rsidRDefault="00000000">
      <w:pPr>
        <w:pStyle w:val="Heading3"/>
      </w:pPr>
      <w:bookmarkStart w:id="9" w:name="phenomenological-control-scale-pcs"/>
      <w:r>
        <w:t>Phenomenological Control Scale (PCS)</w:t>
      </w:r>
    </w:p>
    <w:p w14:paraId="5BDF0710" w14:textId="77777777" w:rsidR="00D80212" w:rsidRDefault="00000000">
      <w:pPr>
        <w:pStyle w:val="FirstParagraph"/>
      </w:pPr>
      <w:r>
        <w:t xml:space="preserve">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 (see Lush et al., 2021), such as “now extend your </w:t>
      </w:r>
      <w:r>
        <w:lastRenderedPageBreak/>
        <w:t>arms ahead of you, with palms facing each other, hands about a foot apart” and “as you sit comfortably in your chair with your eyes closed, a picture of two balls will be displayed on the computer screen”. Once the 10 suggestions are completed, participants will be asked to rate their subjective experiences and response to each suggestion on a 6-points Likert scale. Phenomenological control will be indexed by averaging the scores from the 10 scales.</w:t>
      </w:r>
    </w:p>
    <w:p w14:paraId="5BDF0711" w14:textId="77777777" w:rsidR="00D80212" w:rsidRDefault="00000000">
      <w:pPr>
        <w:pStyle w:val="Heading3"/>
      </w:pPr>
      <w:bookmarkStart w:id="10" w:name="illusion-game"/>
      <w:bookmarkEnd w:id="9"/>
      <w:r>
        <w:t>Illusion Game</w:t>
      </w:r>
    </w:p>
    <w:p w14:paraId="5BDF0712" w14:textId="77777777" w:rsidR="00D80212" w:rsidRDefault="00000000">
      <w:pPr>
        <w:pStyle w:val="FirstParagraph"/>
      </w:pPr>
      <w:r>
        <w:t>The task is an adaptation of the one used in Makowski et al. (2023) to make it shorter and more reliable, in which participants must make perceptual judgments (e.g., “which red line is the longer”) as quickly and accurately as possible. It includes 3 illusion types, namely Ebbinghaus, Müller-Lyer, and Vertical-Horizontal. The procedure encompasses 2 sets of 80 trials for each illusion type.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 score is presented (computed as a scaled Inverse Efficiency Score) as a gamification mechanism to increase motivation to perform to the best of one’s abilities. To mitigate the speed/accuracy trade-off, inherent to most decision-making tasks, we will maintain a double-constrained instruction by emphasizing with equal weight to “be as fast as possible without making errors”.</w:t>
      </w:r>
    </w:p>
    <w:p w14:paraId="5BDF0713" w14:textId="77777777" w:rsidR="00D80212" w:rsidRDefault="00000000">
      <w:pPr>
        <w:pStyle w:val="BodyText"/>
      </w:pPr>
      <w:r>
        <w:t xml:space="preserve">For each illusion type, two continuous dimensions are orthogonally manipulated (see Makowski et al., 2021 for details on the rationale and execution), namely task difficulty and illusion strength, so that each trial corresponds to a unique combination. Task difficulty corresponds to the difficulty of the perceptual decision (e.g., if the task is to select the longest red line, task difficulty corresponds to how the lines are objectively different). Illusion strength </w:t>
      </w:r>
      <w:r>
        <w:lastRenderedPageBreak/>
        <w:t>corresponds to the degree to which the illusion elements (e.g., the black arrow lines in Müller-Lyer) are interfering with the aforementioned task. Note that the illusion effect can be “incongruent” (biasing perception in the direction of the incorrect response) or “congruent” (facilitating, i.e., biasing perception in the direction of the correct response). Participants respond with a key arrow (left vs. right; or up vs. down), and their reaction time (RT) and accuracy are recorded.</w:t>
      </w:r>
    </w:p>
    <w:p w14:paraId="5BDF0714" w14:textId="77777777" w:rsidR="00D80212" w:rsidRDefault="00000000">
      <w:pPr>
        <w:pStyle w:val="BodyText"/>
      </w:pPr>
      <w:r>
        <w:t>Visual illusion sensitivity will be measured as the average error rate in the incongruent condition, separately for the 3 illusion types. Although the error rate is arguably a crude score, which does not take into account the effect of varying illusion strength, the interaction with task difficulty and the possible adjustments in response strategy (speed-accuracy trade off), it is also the most simple and easy to reproduce, hence its usage as our primary outcome for the current preregistration.</w:t>
      </w:r>
    </w:p>
    <w:p w14:paraId="5BDF0715" w14:textId="77777777" w:rsidR="00D80212" w:rsidRDefault="00000000">
      <w:pPr>
        <w:pStyle w:val="BodyText"/>
      </w:pPr>
      <w:r>
        <w:t>The two sets of 3 illusion blocks will be separated by 2 short questionnaires acting as a break, namely the IPIP-6 (Sibley et al., 2011), measuring 6 personality traits with 24 analogue scales items, and the PID-5 (Krueger et al., 2011), measuring 5 maladaptive personality traits with 25 Likert scales items. These questionnaires are strategically included to provide a break between the two cognitively taxing blocks of comparable activity and duration and to maximize the reusability of the data by maintaining consistency with paradigms used previously (Makowski et al., 2023).</w:t>
      </w:r>
    </w:p>
    <w:p w14:paraId="5BDF0716" w14:textId="77777777" w:rsidR="00D80212" w:rsidRDefault="00000000">
      <w:pPr>
        <w:pStyle w:val="Heading2"/>
      </w:pPr>
      <w:bookmarkStart w:id="11" w:name="data-analysis"/>
      <w:bookmarkEnd w:id="8"/>
      <w:bookmarkEnd w:id="10"/>
      <w:r>
        <w:t>Data Analysis</w:t>
      </w:r>
    </w:p>
    <w:p w14:paraId="5BDF0717" w14:textId="77777777" w:rsidR="00D80212" w:rsidRDefault="00000000">
      <w:pPr>
        <w:pStyle w:val="FirstParagraph"/>
      </w:pPr>
      <w:r>
        <w:t xml:space="preserve">The PCS will contain several manipulation check indices to identify problematic participants. Participants should not answer “no balls were presented” when queried about the </w:t>
      </w:r>
      <w:r>
        <w:lastRenderedPageBreak/>
        <w:t>colour they observed on the screen following the negative visual hallucination suggestion, and should execute at least 5 space presses upon instructions to do so.</w:t>
      </w:r>
    </w:p>
    <w:p w14:paraId="5BDF0718" w14:textId="77777777" w:rsidR="00D80212" w:rsidRDefault="00000000">
      <w:pPr>
        <w:pStyle w:val="BodyText"/>
      </w:pPr>
      <w:r>
        <w:t>Illusion Game outliers will be flagged based on their RT distributions, following the same procedure as in (Makowski et al., 2023). If the RT is collapsed to the left (i.e., has &gt; 1/3 of ultra-fast responses - typically &lt; 200 ms) in the first block, the entire participant will be discarded (suggesting that they did not properly do the text), but if only the second block is bad, then only the second block will be discarded (as the illusion sensitivity can still be estimated, albeit with less precision). In addition, the removal of individual trials will also be performed [RT &lt; 200 ms or &gt; 3 SD; following Thériault et al. (2024)].</w:t>
      </w:r>
    </w:p>
    <w:p w14:paraId="5BDF0719" w14:textId="77777777" w:rsidR="00D80212" w:rsidRDefault="00000000">
      <w:pPr>
        <w:pStyle w:val="BodyText"/>
      </w:pPr>
      <w:r>
        <w:t xml:space="preserve">After removing problematic participants and trials, the outcome measures (PC and VI sensitivity scores) will be computed and the Bayesian correlation (with medium prior on the coefficient, i.e., r-scale parameter set to 1/3) will be computed [using the </w:t>
      </w:r>
      <w:r>
        <w:rPr>
          <w:i/>
          <w:iCs/>
        </w:rPr>
        <w:t>BayesFactor</w:t>
      </w:r>
      <w:r>
        <w:t xml:space="preserve"> package; Morey and Rouder (2024)]. Following Lush et al. (2022), we expect to collect evidence against (BF10 &lt;= 1/3) a relationship between PCS and VI sensitivity. Data analysis will be carried out using R, using </w:t>
      </w:r>
      <w:r>
        <w:rPr>
          <w:i/>
          <w:iCs/>
        </w:rPr>
        <w:t>tidyverse</w:t>
      </w:r>
      <w:r>
        <w:t xml:space="preserve"> (Wickham et al., 2019) and </w:t>
      </w:r>
      <w:r>
        <w:rPr>
          <w:i/>
          <w:iCs/>
        </w:rPr>
        <w:t>easystats</w:t>
      </w:r>
      <w:r>
        <w:t xml:space="preserve"> (Lüdecke et al., 2020, 2022; Makowski et al., 2019, 2022; Patil et al., 2022). The analysis script and additional information are available at </w:t>
      </w:r>
      <w:r>
        <w:rPr>
          <w:i/>
          <w:iCs/>
        </w:rPr>
        <w:t>https://github.com/RealityBending/IllusionGamePhenomenologicalControl</w:t>
      </w:r>
      <w:r>
        <w:t>.</w:t>
      </w:r>
    </w:p>
    <w:p w14:paraId="5BDF071A" w14:textId="77777777" w:rsidR="00D80212" w:rsidRDefault="00000000">
      <w:pPr>
        <w:pStyle w:val="Heading1"/>
      </w:pPr>
      <w:bookmarkStart w:id="12" w:name="results"/>
      <w:bookmarkEnd w:id="6"/>
      <w:bookmarkEnd w:id="11"/>
      <w:r>
        <w:t>Results</w:t>
      </w:r>
    </w:p>
    <w:p w14:paraId="5BDF071B" w14:textId="77777777" w:rsidR="00D80212" w:rsidRDefault="00000000">
      <w:pPr>
        <w:pStyle w:val="FirstParagraph"/>
      </w:pPr>
      <w:r>
        <w:rPr>
          <w:i/>
          <w:iCs/>
        </w:rPr>
        <w:t>This section will be completed after data is collected.</w:t>
      </w:r>
    </w:p>
    <w:p w14:paraId="5BDF071C" w14:textId="77777777" w:rsidR="00D80212" w:rsidRDefault="00000000">
      <w:pPr>
        <w:pStyle w:val="Heading1"/>
      </w:pPr>
      <w:bookmarkStart w:id="13" w:name="discussion"/>
      <w:bookmarkEnd w:id="12"/>
      <w:r>
        <w:t>Discussion</w:t>
      </w:r>
    </w:p>
    <w:p w14:paraId="5BDF071D" w14:textId="77777777" w:rsidR="00D80212" w:rsidRDefault="00000000">
      <w:pPr>
        <w:pStyle w:val="FirstParagraph"/>
      </w:pPr>
      <w:r>
        <w:rPr>
          <w:i/>
          <w:iCs/>
        </w:rPr>
        <w:t>This section will be completed after data is collected.</w:t>
      </w:r>
    </w:p>
    <w:p w14:paraId="5BDF071E" w14:textId="77777777" w:rsidR="00D80212" w:rsidRDefault="00000000">
      <w:pPr>
        <w:pStyle w:val="Heading1"/>
      </w:pPr>
      <w:bookmarkStart w:id="14" w:name="data-availability"/>
      <w:bookmarkEnd w:id="13"/>
      <w:r>
        <w:lastRenderedPageBreak/>
        <w:t>Data Availability</w:t>
      </w:r>
    </w:p>
    <w:p w14:paraId="5BDF071F" w14:textId="77777777" w:rsidR="00D80212" w:rsidRDefault="00000000">
      <w:pPr>
        <w:pStyle w:val="FirstParagraph"/>
      </w:pPr>
      <w:r>
        <w:t>All the study materials, experiment, data, and analysis is available on GitHub at https://github.com/RealityBending/IllusionGamePhenomenologicalControl</w:t>
      </w:r>
    </w:p>
    <w:p w14:paraId="5BDF0720" w14:textId="77777777" w:rsidR="00D80212" w:rsidRDefault="00000000">
      <w:pPr>
        <w:pStyle w:val="Heading1"/>
      </w:pPr>
      <w:bookmarkStart w:id="15" w:name="acknowledgments"/>
      <w:bookmarkEnd w:id="14"/>
      <w:r>
        <w:t>Acknowledgments</w:t>
      </w:r>
    </w:p>
    <w:p w14:paraId="5BDF0721" w14:textId="77777777" w:rsidR="00D80212" w:rsidRDefault="00000000">
      <w:pPr>
        <w:pStyle w:val="FirstParagraph"/>
      </w:pPr>
      <w:r>
        <w:t>We would like to thank An Shu Te for her help in setting up the project, Ryan Scott for his help in implementing the phenomenological control scale, and Zoltan Dienes for his input, feedback and guidance.</w:t>
      </w:r>
    </w:p>
    <w:p w14:paraId="5BDF0722" w14:textId="77777777" w:rsidR="00D80212" w:rsidRDefault="00000000">
      <w:r>
        <w:br w:type="page"/>
      </w:r>
    </w:p>
    <w:p w14:paraId="5BDF0723" w14:textId="77777777" w:rsidR="00D80212" w:rsidRDefault="00000000">
      <w:pPr>
        <w:pStyle w:val="Heading1"/>
      </w:pPr>
      <w:bookmarkStart w:id="16" w:name="references"/>
      <w:bookmarkEnd w:id="15"/>
      <w:r>
        <w:lastRenderedPageBreak/>
        <w:t>References</w:t>
      </w:r>
    </w:p>
    <w:p w14:paraId="5BDF0724" w14:textId="77777777" w:rsidR="00D80212" w:rsidRDefault="00000000">
      <w:pPr>
        <w:pStyle w:val="Bibliography"/>
      </w:pPr>
      <w:bookmarkStart w:id="17" w:name="ref-costa2023"/>
      <w:bookmarkStart w:id="18" w:name="refs"/>
      <w:r>
        <w:t xml:space="preserve">Costa, A. L. L., Costa, D. L., Pessoa, V. F., Caixeta, F. V., &amp; Maior, R. S. (2023). Systematic review of visual illusions in schizophrenia. </w:t>
      </w:r>
      <w:r>
        <w:rPr>
          <w:i/>
          <w:iCs/>
        </w:rPr>
        <w:t>Schizophrenia Research</w:t>
      </w:r>
      <w:r>
        <w:t xml:space="preserve">, </w:t>
      </w:r>
      <w:r>
        <w:rPr>
          <w:i/>
          <w:iCs/>
        </w:rPr>
        <w:t>252</w:t>
      </w:r>
      <w:r>
        <w:t xml:space="preserve">, 13–22. </w:t>
      </w:r>
      <w:hyperlink r:id="rId9">
        <w:r>
          <w:rPr>
            <w:rStyle w:val="Hyperlink"/>
          </w:rPr>
          <w:t>https://doi.org/10.1016/j.schres.2022.12.030</w:t>
        </w:r>
      </w:hyperlink>
    </w:p>
    <w:p w14:paraId="5BDF0725" w14:textId="77777777" w:rsidR="00D80212" w:rsidRDefault="00000000">
      <w:pPr>
        <w:pStyle w:val="Bibliography"/>
      </w:pPr>
      <w:bookmarkStart w:id="19" w:name="ref-dienes2022"/>
      <w:bookmarkEnd w:id="17"/>
      <w:r>
        <w:t xml:space="preserve">Dienes, Z., Lush, P., Palfi, B., Roseboom, W., Scott, R., Parris, B., Seth, A., &amp; Lovell, M. (2022). Phenomenological control as cold control. </w:t>
      </w:r>
      <w:r>
        <w:rPr>
          <w:i/>
          <w:iCs/>
        </w:rPr>
        <w:t>Psychology of Consciousness: Theory, Research, and Practice</w:t>
      </w:r>
      <w:r>
        <w:t xml:space="preserve">, </w:t>
      </w:r>
      <w:r>
        <w:rPr>
          <w:i/>
          <w:iCs/>
        </w:rPr>
        <w:t>9</w:t>
      </w:r>
      <w:r>
        <w:t xml:space="preserve">(2), 101–116. </w:t>
      </w:r>
      <w:hyperlink r:id="rId10">
        <w:r>
          <w:rPr>
            <w:rStyle w:val="Hyperlink"/>
          </w:rPr>
          <w:t>https://doi.org/10.1037/cns0000230</w:t>
        </w:r>
      </w:hyperlink>
    </w:p>
    <w:p w14:paraId="5BDF0726" w14:textId="77777777" w:rsidR="00D80212" w:rsidRDefault="00000000">
      <w:pPr>
        <w:pStyle w:val="Bibliography"/>
      </w:pPr>
      <w:bookmarkStart w:id="20" w:name="ref-friston2010"/>
      <w:bookmarkEnd w:id="19"/>
      <w:r>
        <w:t xml:space="preserve">Friston, K. (2010). The free-energy principle: a unified brain theory? </w:t>
      </w:r>
      <w:r>
        <w:rPr>
          <w:i/>
          <w:iCs/>
        </w:rPr>
        <w:t>Nature Reviews Neuroscience</w:t>
      </w:r>
      <w:r>
        <w:t xml:space="preserve">, </w:t>
      </w:r>
      <w:r>
        <w:rPr>
          <w:i/>
          <w:iCs/>
        </w:rPr>
        <w:t>11</w:t>
      </w:r>
      <w:r>
        <w:t xml:space="preserve">(2), 127–138. </w:t>
      </w:r>
      <w:hyperlink r:id="rId11">
        <w:r>
          <w:rPr>
            <w:rStyle w:val="Hyperlink"/>
          </w:rPr>
          <w:t>https://doi.org/10.1038/nrn2787</w:t>
        </w:r>
      </w:hyperlink>
    </w:p>
    <w:p w14:paraId="5BDF0727" w14:textId="77777777" w:rsidR="00D80212" w:rsidRDefault="00000000">
      <w:pPr>
        <w:pStyle w:val="Bibliography"/>
      </w:pPr>
      <w:bookmarkStart w:id="21" w:name="ref-gershman2012"/>
      <w:bookmarkEnd w:id="20"/>
      <w:r>
        <w:t xml:space="preserve">Gershman, S. J., Vul, E., &amp; Tenenbaum, J. B. (2012). Multistability and Perceptual Inference. </w:t>
      </w:r>
      <w:r>
        <w:rPr>
          <w:i/>
          <w:iCs/>
        </w:rPr>
        <w:t>Neural Computation</w:t>
      </w:r>
      <w:r>
        <w:t xml:space="preserve">, </w:t>
      </w:r>
      <w:r>
        <w:rPr>
          <w:i/>
          <w:iCs/>
        </w:rPr>
        <w:t>24</w:t>
      </w:r>
      <w:r>
        <w:t xml:space="preserve">(1), 1–24. </w:t>
      </w:r>
      <w:hyperlink r:id="rId12">
        <w:r>
          <w:rPr>
            <w:rStyle w:val="Hyperlink"/>
          </w:rPr>
          <w:t>https://doi.org/10.1162/neco_a_00226</w:t>
        </w:r>
      </w:hyperlink>
    </w:p>
    <w:p w14:paraId="5BDF0728" w14:textId="77777777" w:rsidR="00D80212" w:rsidRDefault="00000000">
      <w:pPr>
        <w:pStyle w:val="Bibliography"/>
      </w:pPr>
      <w:bookmarkStart w:id="22" w:name="ref-gori2016"/>
      <w:bookmarkEnd w:id="21"/>
      <w:r>
        <w:t xml:space="preserve">Gori, S., Molteni, M., &amp; Facoetti, A. (2016). Visual illusions: An interesting tool to investigate developmental dyslexia and autism spectrum disorder. </w:t>
      </w:r>
      <w:r>
        <w:rPr>
          <w:i/>
          <w:iCs/>
        </w:rPr>
        <w:t>Frontiers in Human Neuroscience</w:t>
      </w:r>
      <w:r>
        <w:t xml:space="preserve">, </w:t>
      </w:r>
      <w:r>
        <w:rPr>
          <w:i/>
          <w:iCs/>
        </w:rPr>
        <w:t>10</w:t>
      </w:r>
      <w:r>
        <w:t xml:space="preserve">. </w:t>
      </w:r>
      <w:hyperlink r:id="rId13">
        <w:r>
          <w:rPr>
            <w:rStyle w:val="Hyperlink"/>
          </w:rPr>
          <w:t>https://doi.org/10.3389/fnhum.2016.00175</w:t>
        </w:r>
      </w:hyperlink>
    </w:p>
    <w:p w14:paraId="5BDF0729" w14:textId="77777777" w:rsidR="00D80212" w:rsidRDefault="00000000">
      <w:pPr>
        <w:pStyle w:val="Bibliography"/>
      </w:pPr>
      <w:bookmarkStart w:id="23" w:name="ref-krueger2011"/>
      <w:bookmarkEnd w:id="22"/>
      <w:r>
        <w:t>Krueger, R. F., Eaton, N. R., Derringer, J., Markon, K. E., Watson, D., &amp; Skodol, A. E. (2011). Personality in</w:t>
      </w:r>
      <w:r>
        <w:rPr>
          <w:i/>
          <w:iCs/>
        </w:rPr>
        <w:t>DSM5:</w:t>
      </w:r>
      <w:r>
        <w:t xml:space="preserve">Helping Delineate Personality Disorder Content and Framing the Metastructure. </w:t>
      </w:r>
      <w:r>
        <w:rPr>
          <w:i/>
          <w:iCs/>
        </w:rPr>
        <w:t>Journal of Personality Assessment</w:t>
      </w:r>
      <w:r>
        <w:t xml:space="preserve">, </w:t>
      </w:r>
      <w:r>
        <w:rPr>
          <w:i/>
          <w:iCs/>
        </w:rPr>
        <w:t>93</w:t>
      </w:r>
      <w:r>
        <w:t xml:space="preserve">(4), 325–331. </w:t>
      </w:r>
      <w:hyperlink r:id="rId14">
        <w:r>
          <w:rPr>
            <w:rStyle w:val="Hyperlink"/>
          </w:rPr>
          <w:t>https://doi.org/10.1080/00223891.2011.577478</w:t>
        </w:r>
      </w:hyperlink>
    </w:p>
    <w:p w14:paraId="5BDF072A" w14:textId="77777777" w:rsidR="00D80212" w:rsidRDefault="00000000">
      <w:pPr>
        <w:pStyle w:val="Bibliography"/>
      </w:pPr>
      <w:bookmarkStart w:id="24" w:name="ref-parameters"/>
      <w:bookmarkEnd w:id="23"/>
      <w:r>
        <w:t xml:space="preserve">Lüdecke, D., Ben-Shachar, M. S., Patil, I., &amp; Makowski, D. (2020). </w:t>
      </w:r>
      <w:r>
        <w:rPr>
          <w:i/>
          <w:iCs/>
        </w:rPr>
        <w:t>Extracting, computing and exploring the parameters of statistical models using r.</w:t>
      </w:r>
      <w:r>
        <w:t xml:space="preserve"> </w:t>
      </w:r>
      <w:r>
        <w:rPr>
          <w:i/>
          <w:iCs/>
        </w:rPr>
        <w:t>5</w:t>
      </w:r>
      <w:r>
        <w:t xml:space="preserve">, 2445. </w:t>
      </w:r>
      <w:hyperlink r:id="rId15">
        <w:r>
          <w:rPr>
            <w:rStyle w:val="Hyperlink"/>
          </w:rPr>
          <w:t>https://doi.org/10.21105/joss.02445</w:t>
        </w:r>
      </w:hyperlink>
    </w:p>
    <w:p w14:paraId="5BDF072B" w14:textId="77777777" w:rsidR="00D80212" w:rsidRDefault="00000000">
      <w:pPr>
        <w:pStyle w:val="Bibliography"/>
      </w:pPr>
      <w:bookmarkStart w:id="25" w:name="ref-easystats"/>
      <w:bookmarkEnd w:id="24"/>
      <w:r>
        <w:lastRenderedPageBreak/>
        <w:t xml:space="preserve">Lüdecke, D., Ben-Shachar, M. S., Patil, I., Wiernik, B. M., Bacher, E., Thériault, R., &amp; Makowski, D. (2022). </w:t>
      </w:r>
      <w:r>
        <w:rPr>
          <w:i/>
          <w:iCs/>
        </w:rPr>
        <w:t>Easystats: Framework for easy statistical modeling, visualization, and reporting</w:t>
      </w:r>
      <w:r>
        <w:t xml:space="preserve">. </w:t>
      </w:r>
      <w:hyperlink r:id="rId16">
        <w:r>
          <w:rPr>
            <w:rStyle w:val="Hyperlink"/>
          </w:rPr>
          <w:t>https://easystats.github.io/easystats/</w:t>
        </w:r>
      </w:hyperlink>
    </w:p>
    <w:p w14:paraId="5BDF072C" w14:textId="77777777" w:rsidR="00D80212" w:rsidRDefault="00000000">
      <w:pPr>
        <w:pStyle w:val="Bibliography"/>
      </w:pPr>
      <w:bookmarkStart w:id="26" w:name="ref-lush2018"/>
      <w:bookmarkEnd w:id="25"/>
      <w:r>
        <w:t xml:space="preserve">Lush, P., Moga, G., McLatchie, N., &amp; Dienes, Z. (2018). The Sussex-Waterloo Scale of Hypnotizability (SWASH): measuring capacity for altering conscious experience. </w:t>
      </w:r>
      <w:r>
        <w:rPr>
          <w:i/>
          <w:iCs/>
        </w:rPr>
        <w:t>Neuroscience of Consciousness</w:t>
      </w:r>
      <w:r>
        <w:t xml:space="preserve">, </w:t>
      </w:r>
      <w:r>
        <w:rPr>
          <w:i/>
          <w:iCs/>
        </w:rPr>
        <w:t>2018</w:t>
      </w:r>
      <w:r>
        <w:t xml:space="preserve">(1). </w:t>
      </w:r>
      <w:hyperlink r:id="rId17">
        <w:r>
          <w:rPr>
            <w:rStyle w:val="Hyperlink"/>
          </w:rPr>
          <w:t>https://doi.org/10.1093/nc/niy006</w:t>
        </w:r>
      </w:hyperlink>
    </w:p>
    <w:p w14:paraId="5BDF072D" w14:textId="77777777" w:rsidR="00D80212" w:rsidRDefault="00000000">
      <w:pPr>
        <w:pStyle w:val="Bibliography"/>
      </w:pPr>
      <w:bookmarkStart w:id="27" w:name="ref-lush2021"/>
      <w:bookmarkEnd w:id="26"/>
      <w:r>
        <w:t xml:space="preserve">Lush, P., Scott, R. B., Seth, A. K., &amp; Dienes, Z. (2021). The Phenomenological Control Scale: Measuring the Capacity for Creating Illusory Nonvolition, Hallucination and Delusion. </w:t>
      </w:r>
      <w:r>
        <w:rPr>
          <w:i/>
          <w:iCs/>
        </w:rPr>
        <w:t>Collabra: Psychology</w:t>
      </w:r>
      <w:r>
        <w:t xml:space="preserve">, </w:t>
      </w:r>
      <w:r>
        <w:rPr>
          <w:i/>
          <w:iCs/>
        </w:rPr>
        <w:t>7</w:t>
      </w:r>
      <w:r>
        <w:t xml:space="preserve">(1). </w:t>
      </w:r>
      <w:hyperlink r:id="rId18">
        <w:r>
          <w:rPr>
            <w:rStyle w:val="Hyperlink"/>
          </w:rPr>
          <w:t>https://doi.org/10.1525/collabra.29542</w:t>
        </w:r>
      </w:hyperlink>
    </w:p>
    <w:p w14:paraId="5BDF072E" w14:textId="77777777" w:rsidR="00D80212" w:rsidRDefault="00000000">
      <w:pPr>
        <w:pStyle w:val="Bibliography"/>
      </w:pPr>
      <w:bookmarkStart w:id="28" w:name="ref-lush2022"/>
      <w:bookmarkEnd w:id="27"/>
      <w:r>
        <w:t xml:space="preserve">Lush, P., Seth, A., Dienes, Z., &amp; Scott, R. B. (2022). </w:t>
      </w:r>
      <w:r>
        <w:rPr>
          <w:i/>
          <w:iCs/>
        </w:rPr>
        <w:t>Trait phenomenological control in top-down and bottom-up effects: ASMR, visually evoked auditory response and the müller-lyer illusion</w:t>
      </w:r>
      <w:r>
        <w:t xml:space="preserve">. </w:t>
      </w:r>
      <w:hyperlink r:id="rId19">
        <w:r>
          <w:rPr>
            <w:rStyle w:val="Hyperlink"/>
          </w:rPr>
          <w:t>http://dx.doi.org/10.31234/osf.io/hw4y9</w:t>
        </w:r>
      </w:hyperlink>
    </w:p>
    <w:p w14:paraId="5BDF072F" w14:textId="77777777" w:rsidR="00D80212" w:rsidRDefault="00000000">
      <w:pPr>
        <w:pStyle w:val="Bibliography"/>
      </w:pPr>
      <w:bookmarkStart w:id="29" w:name="ref-bayestestR"/>
      <w:bookmarkEnd w:id="28"/>
      <w:r>
        <w:t xml:space="preserve">Makowski, D., Ben-Shachar, M. S., &amp; Lüdecke, D. (2019). </w:t>
      </w:r>
      <w:r>
        <w:rPr>
          <w:i/>
          <w:iCs/>
        </w:rPr>
        <w:t>bayestestR: Describing effects and their uncertainty, existence and significance within the bayesian framework.</w:t>
      </w:r>
      <w:r>
        <w:t xml:space="preserve"> </w:t>
      </w:r>
      <w:r>
        <w:rPr>
          <w:i/>
          <w:iCs/>
        </w:rPr>
        <w:t>4</w:t>
      </w:r>
      <w:r>
        <w:t xml:space="preserve">, 1541. </w:t>
      </w:r>
      <w:hyperlink r:id="rId20">
        <w:r>
          <w:rPr>
            <w:rStyle w:val="Hyperlink"/>
          </w:rPr>
          <w:t>https://doi.org/10.21105/joss.01541</w:t>
        </w:r>
      </w:hyperlink>
    </w:p>
    <w:p w14:paraId="5BDF0730" w14:textId="77777777" w:rsidR="00D80212" w:rsidRDefault="00000000">
      <w:pPr>
        <w:pStyle w:val="Bibliography"/>
      </w:pPr>
      <w:bookmarkStart w:id="30" w:name="ref-makowski2021"/>
      <w:bookmarkEnd w:id="29"/>
      <w:r>
        <w:t xml:space="preserve">Makowski, D., Lau, Z. J., Pham, T., Paul Boyce, W., &amp; Annabel Chen, S. H. (2021). A Parametric Framework to Generate Visual Illusions Using Python. </w:t>
      </w:r>
      <w:r>
        <w:rPr>
          <w:i/>
          <w:iCs/>
        </w:rPr>
        <w:t>Perception</w:t>
      </w:r>
      <w:r>
        <w:t xml:space="preserve">, </w:t>
      </w:r>
      <w:r>
        <w:rPr>
          <w:i/>
          <w:iCs/>
        </w:rPr>
        <w:t>50</w:t>
      </w:r>
      <w:r>
        <w:t xml:space="preserve">(11), 950–965. </w:t>
      </w:r>
      <w:hyperlink r:id="rId21">
        <w:r>
          <w:rPr>
            <w:rStyle w:val="Hyperlink"/>
          </w:rPr>
          <w:t>https://doi.org/10.1177/03010066211057347</w:t>
        </w:r>
      </w:hyperlink>
    </w:p>
    <w:p w14:paraId="5BDF0731" w14:textId="77777777" w:rsidR="00D80212" w:rsidRDefault="00000000">
      <w:pPr>
        <w:pStyle w:val="Bibliography"/>
      </w:pPr>
      <w:bookmarkStart w:id="31" w:name="ref-makowski2023"/>
      <w:bookmarkEnd w:id="30"/>
      <w:r>
        <w:t xml:space="preserve">Makowski, D., Te, A. S., Kirk, S., Liang, N. Z., &amp; Chen, S. H. A. (2023). A novel visual illusion paradigm provides evidence for a general factor of illusion sensitivity and personality correlates. </w:t>
      </w:r>
      <w:r>
        <w:rPr>
          <w:i/>
          <w:iCs/>
        </w:rPr>
        <w:t>Scientific Reports</w:t>
      </w:r>
      <w:r>
        <w:t xml:space="preserve">, </w:t>
      </w:r>
      <w:r>
        <w:rPr>
          <w:i/>
          <w:iCs/>
        </w:rPr>
        <w:t>13</w:t>
      </w:r>
      <w:r>
        <w:t xml:space="preserve">(1). </w:t>
      </w:r>
      <w:hyperlink r:id="rId22">
        <w:r>
          <w:rPr>
            <w:rStyle w:val="Hyperlink"/>
          </w:rPr>
          <w:t>https://doi.org/10.1038/s41598-023-33148-5</w:t>
        </w:r>
      </w:hyperlink>
    </w:p>
    <w:p w14:paraId="5BDF0732" w14:textId="77777777" w:rsidR="00D80212" w:rsidRDefault="00000000">
      <w:pPr>
        <w:pStyle w:val="Bibliography"/>
      </w:pPr>
      <w:bookmarkStart w:id="32" w:name="ref-correlation"/>
      <w:bookmarkEnd w:id="31"/>
      <w:r>
        <w:t xml:space="preserve">Makowski, D., Wiernik, B. M., Patil, I., Lüdecke, D., &amp; Ben-Shachar, M. S. (2022). </w:t>
      </w:r>
      <w:r>
        <w:rPr>
          <w:i/>
          <w:iCs/>
        </w:rPr>
        <w:t>Correlation: Methods for correlation analysis</w:t>
      </w:r>
      <w:r>
        <w:t xml:space="preserve">. </w:t>
      </w:r>
      <w:hyperlink r:id="rId23">
        <w:r>
          <w:rPr>
            <w:rStyle w:val="Hyperlink"/>
          </w:rPr>
          <w:t>https://CRAN.R-project.org/package=correlation</w:t>
        </w:r>
      </w:hyperlink>
    </w:p>
    <w:p w14:paraId="5BDF0733" w14:textId="77777777" w:rsidR="00D80212" w:rsidRDefault="00000000">
      <w:pPr>
        <w:pStyle w:val="Bibliography"/>
      </w:pPr>
      <w:bookmarkStart w:id="33" w:name="ref-mitchell2010"/>
      <w:bookmarkEnd w:id="32"/>
      <w:r>
        <w:lastRenderedPageBreak/>
        <w:t xml:space="preserve">Mitchell, P., Mottron, L., Soulières, I., &amp; Ropar, D. (2010). Susceptibility to the Shepard illusion in participants with autism: reduced top-down influences within perception? </w:t>
      </w:r>
      <w:r>
        <w:rPr>
          <w:i/>
          <w:iCs/>
        </w:rPr>
        <w:t>Autism Research</w:t>
      </w:r>
      <w:r>
        <w:t xml:space="preserve">, </w:t>
      </w:r>
      <w:r>
        <w:rPr>
          <w:i/>
          <w:iCs/>
        </w:rPr>
        <w:t>3</w:t>
      </w:r>
      <w:r>
        <w:t xml:space="preserve">(3), 113–119. </w:t>
      </w:r>
      <w:hyperlink r:id="rId24">
        <w:r>
          <w:rPr>
            <w:rStyle w:val="Hyperlink"/>
          </w:rPr>
          <w:t>https://doi.org/10.1002/aur.130</w:t>
        </w:r>
      </w:hyperlink>
    </w:p>
    <w:p w14:paraId="5BDF0734" w14:textId="77777777" w:rsidR="00D80212" w:rsidRDefault="00000000">
      <w:pPr>
        <w:pStyle w:val="Bibliography"/>
      </w:pPr>
      <w:bookmarkStart w:id="34" w:name="ref-BayesFactor"/>
      <w:bookmarkEnd w:id="33"/>
      <w:r>
        <w:t xml:space="preserve">Morey, R. D., &amp; Rouder, J. N. (2024). </w:t>
      </w:r>
      <w:r>
        <w:rPr>
          <w:i/>
          <w:iCs/>
        </w:rPr>
        <w:t>BayesFactor: Computation of bayes factors for common designs</w:t>
      </w:r>
      <w:r>
        <w:t xml:space="preserve">. </w:t>
      </w:r>
      <w:hyperlink r:id="rId25">
        <w:r>
          <w:rPr>
            <w:rStyle w:val="Hyperlink"/>
          </w:rPr>
          <w:t>https://CRAN.R-project.org/package=BayesFactor</w:t>
        </w:r>
      </w:hyperlink>
    </w:p>
    <w:p w14:paraId="5BDF0735" w14:textId="77777777" w:rsidR="00D80212" w:rsidRDefault="00000000">
      <w:pPr>
        <w:pStyle w:val="Bibliography"/>
      </w:pPr>
      <w:bookmarkStart w:id="35" w:name="ref-notredame2014"/>
      <w:bookmarkEnd w:id="34"/>
      <w:r>
        <w:t xml:space="preserve">Notredame, C.-E., Pins, D., Deneve, S., &amp; Jardri, R. (2014). What visual illusions teach us about schizophrenia. </w:t>
      </w:r>
      <w:r>
        <w:rPr>
          <w:i/>
          <w:iCs/>
        </w:rPr>
        <w:t>Frontiers in Integrative Neuroscience</w:t>
      </w:r>
      <w:r>
        <w:t xml:space="preserve">, </w:t>
      </w:r>
      <w:r>
        <w:rPr>
          <w:i/>
          <w:iCs/>
        </w:rPr>
        <w:t>8</w:t>
      </w:r>
      <w:r>
        <w:t xml:space="preserve">. </w:t>
      </w:r>
      <w:hyperlink r:id="rId26">
        <w:r>
          <w:rPr>
            <w:rStyle w:val="Hyperlink"/>
          </w:rPr>
          <w:t>https://doi.org/10.3389/fnint.2014.00063</w:t>
        </w:r>
      </w:hyperlink>
    </w:p>
    <w:p w14:paraId="5BDF0736" w14:textId="77777777" w:rsidR="00D80212" w:rsidRDefault="00000000">
      <w:pPr>
        <w:pStyle w:val="Bibliography"/>
      </w:pPr>
      <w:bookmarkStart w:id="36" w:name="ref-palmer2017"/>
      <w:bookmarkEnd w:id="35"/>
      <w:r>
        <w:t xml:space="preserve">Palmer, C. J., Lawson, R. P., &amp; Hohwy, J. (2017). Bayesian approaches to autism: Towards volatility, action, and behavior. </w:t>
      </w:r>
      <w:r>
        <w:rPr>
          <w:i/>
          <w:iCs/>
        </w:rPr>
        <w:t>Psychological Bulletin</w:t>
      </w:r>
      <w:r>
        <w:t xml:space="preserve">, </w:t>
      </w:r>
      <w:r>
        <w:rPr>
          <w:i/>
          <w:iCs/>
        </w:rPr>
        <w:t>143</w:t>
      </w:r>
      <w:r>
        <w:t xml:space="preserve">(5), 521–542. </w:t>
      </w:r>
      <w:hyperlink r:id="rId27">
        <w:r>
          <w:rPr>
            <w:rStyle w:val="Hyperlink"/>
          </w:rPr>
          <w:t>https://doi.org/10.1037/bul0000097</w:t>
        </w:r>
      </w:hyperlink>
    </w:p>
    <w:p w14:paraId="5BDF0737" w14:textId="77777777" w:rsidR="00D80212" w:rsidRDefault="00000000">
      <w:pPr>
        <w:pStyle w:val="Bibliography"/>
      </w:pPr>
      <w:bookmarkStart w:id="37" w:name="ref-datawizard"/>
      <w:bookmarkEnd w:id="36"/>
      <w:r>
        <w:t xml:space="preserve">Patil, I., Makowski, D., Ben-Shachar, M. S., Wiernik, B. M., Bacher, E., &amp; Lüdecke, D. (2022). </w:t>
      </w:r>
      <w:r>
        <w:rPr>
          <w:i/>
          <w:iCs/>
        </w:rPr>
        <w:t>Datawizard: An r package for easy data preparation and statistical transformations</w:t>
      </w:r>
      <w:r>
        <w:t xml:space="preserve">. </w:t>
      </w:r>
      <w:r>
        <w:rPr>
          <w:i/>
          <w:iCs/>
        </w:rPr>
        <w:t>7</w:t>
      </w:r>
      <w:r>
        <w:t xml:space="preserve">, 4684. </w:t>
      </w:r>
      <w:hyperlink r:id="rId28">
        <w:r>
          <w:rPr>
            <w:rStyle w:val="Hyperlink"/>
          </w:rPr>
          <w:t>https://doi.org/10.21105/joss.04684</w:t>
        </w:r>
      </w:hyperlink>
    </w:p>
    <w:p w14:paraId="5BDF0738" w14:textId="77777777" w:rsidR="00D80212" w:rsidRDefault="00000000">
      <w:pPr>
        <w:pStyle w:val="Bibliography"/>
      </w:pPr>
      <w:bookmarkStart w:id="38" w:name="ref-shoshina2014"/>
      <w:bookmarkEnd w:id="37"/>
      <w:r>
        <w:t xml:space="preserve">Shoshina, I. I., &amp; Shelepin, Yu. E. (2014). Effectiveness of Discrimination of the Sizes of Line Segments by Humans with Different Cognitive Style Parameters. </w:t>
      </w:r>
      <w:r>
        <w:rPr>
          <w:i/>
          <w:iCs/>
        </w:rPr>
        <w:t>Neuroscience and Behavioral Physiology</w:t>
      </w:r>
      <w:r>
        <w:t xml:space="preserve">, </w:t>
      </w:r>
      <w:r>
        <w:rPr>
          <w:i/>
          <w:iCs/>
        </w:rPr>
        <w:t>44</w:t>
      </w:r>
      <w:r>
        <w:t xml:space="preserve">(7), 748–753. </w:t>
      </w:r>
      <w:hyperlink r:id="rId29">
        <w:r>
          <w:rPr>
            <w:rStyle w:val="Hyperlink"/>
          </w:rPr>
          <w:t>https://doi.org/10.1007/s11055-014-9978-2</w:t>
        </w:r>
      </w:hyperlink>
    </w:p>
    <w:p w14:paraId="5BDF0739" w14:textId="77777777" w:rsidR="00D80212" w:rsidRDefault="00000000">
      <w:pPr>
        <w:pStyle w:val="Bibliography"/>
      </w:pPr>
      <w:bookmarkStart w:id="39" w:name="ref-sibley2011mini"/>
      <w:bookmarkEnd w:id="38"/>
      <w:r>
        <w:t xml:space="preserve">Sibley, C. G., Luyten, N., Purnomo, M., Mobberley, A., Wootton, L. W., Hammond, M. D., Sengupta, N., Perry, R., West-Newman, T., Wilson, M. S., et al. (2011). The mini-IPIP6: Validation and extension of a short measure of the big-six factors of personality in new zealand. </w:t>
      </w:r>
      <w:r>
        <w:rPr>
          <w:i/>
          <w:iCs/>
        </w:rPr>
        <w:t>New Zealand Journal of Psychology</w:t>
      </w:r>
      <w:r>
        <w:t xml:space="preserve">, </w:t>
      </w:r>
      <w:r>
        <w:rPr>
          <w:i/>
          <w:iCs/>
        </w:rPr>
        <w:t>40</w:t>
      </w:r>
      <w:r>
        <w:t>(3).</w:t>
      </w:r>
    </w:p>
    <w:p w14:paraId="5BDF073A" w14:textId="77777777" w:rsidR="00D80212" w:rsidRDefault="00000000">
      <w:pPr>
        <w:pStyle w:val="Bibliography"/>
      </w:pPr>
      <w:bookmarkStart w:id="40" w:name="ref-sundareswara2008"/>
      <w:bookmarkEnd w:id="39"/>
      <w:r>
        <w:t xml:space="preserve">Sundareswara, R., &amp; Schrater, P. R. (2008). Perceptual multistability predicted by search model for Bayesian decisions. </w:t>
      </w:r>
      <w:r>
        <w:rPr>
          <w:i/>
          <w:iCs/>
        </w:rPr>
        <w:t>Journal of Vision</w:t>
      </w:r>
      <w:r>
        <w:t xml:space="preserve">, </w:t>
      </w:r>
      <w:r>
        <w:rPr>
          <w:i/>
          <w:iCs/>
        </w:rPr>
        <w:t>8</w:t>
      </w:r>
      <w:r>
        <w:t xml:space="preserve">(5), 12. </w:t>
      </w:r>
      <w:hyperlink r:id="rId30">
        <w:r>
          <w:rPr>
            <w:rStyle w:val="Hyperlink"/>
          </w:rPr>
          <w:t>https://doi.org/10.1167/8.5.12</w:t>
        </w:r>
      </w:hyperlink>
    </w:p>
    <w:p w14:paraId="5BDF073B" w14:textId="77777777" w:rsidR="00D80212" w:rsidRDefault="00000000">
      <w:pPr>
        <w:pStyle w:val="Bibliography"/>
      </w:pPr>
      <w:bookmarkStart w:id="41" w:name="ref-theriault2024"/>
      <w:bookmarkEnd w:id="40"/>
      <w:r>
        <w:lastRenderedPageBreak/>
        <w:t xml:space="preserve">Thériault, R., Ben-Shachar, M. S., Patil, I., Lüdecke, D., Wiernik, B. M., &amp; Makowski, D. (2024). Check your outliers﻿! An introduction to identifying statistical outliers in R with easystats. </w:t>
      </w:r>
      <w:r>
        <w:rPr>
          <w:i/>
          <w:iCs/>
        </w:rPr>
        <w:t>Behavior Research Methods</w:t>
      </w:r>
      <w:r>
        <w:t xml:space="preserve">. </w:t>
      </w:r>
      <w:hyperlink r:id="rId31">
        <w:r>
          <w:rPr>
            <w:rStyle w:val="Hyperlink"/>
          </w:rPr>
          <w:t>https://doi.org/10.3758/s13428-024-02356-w</w:t>
        </w:r>
      </w:hyperlink>
    </w:p>
    <w:p w14:paraId="5BDF073C" w14:textId="77777777" w:rsidR="00D80212" w:rsidRDefault="00000000">
      <w:pPr>
        <w:pStyle w:val="Bibliography"/>
      </w:pPr>
      <w:bookmarkStart w:id="42" w:name="ref-todorovic2020"/>
      <w:bookmarkEnd w:id="41"/>
      <w:r>
        <w:t xml:space="preserve">Todorović, D. (2020). What Are Visual Illusions? </w:t>
      </w:r>
      <w:r>
        <w:rPr>
          <w:i/>
          <w:iCs/>
        </w:rPr>
        <w:t>Perception</w:t>
      </w:r>
      <w:r>
        <w:t xml:space="preserve">, </w:t>
      </w:r>
      <w:r>
        <w:rPr>
          <w:i/>
          <w:iCs/>
        </w:rPr>
        <w:t>49</w:t>
      </w:r>
      <w:r>
        <w:t xml:space="preserve">(11), 1128–1199. </w:t>
      </w:r>
      <w:hyperlink r:id="rId32">
        <w:r>
          <w:rPr>
            <w:rStyle w:val="Hyperlink"/>
          </w:rPr>
          <w:t>https://doi.org/10.1177/0301006620962279</w:t>
        </w:r>
      </w:hyperlink>
    </w:p>
    <w:p w14:paraId="5BDF073D" w14:textId="77777777" w:rsidR="00D80212" w:rsidRDefault="00000000">
      <w:pPr>
        <w:pStyle w:val="Bibliography"/>
      </w:pPr>
      <w:bookmarkStart w:id="43" w:name="ref-tidyverse"/>
      <w:bookmarkEnd w:id="42"/>
      <w:r>
        <w:t xml:space="preserve">Wickham, H., Averick, M., Bryan, J., Chang, W., McGowan, L. D., François, R., Grolemund, G., Hayes, A., Henry, L., Hester, J., Kuhn, M., Pedersen, T. L., Miller, E., Bache, S. M., Müller, K., Ooms, J., Robinson, D., Seidel, D. P., Spinu, V., … Yutani, H. (2019). </w:t>
      </w:r>
      <w:r>
        <w:rPr>
          <w:i/>
          <w:iCs/>
        </w:rPr>
        <w:t>Welcome to the tidyverse</w:t>
      </w:r>
      <w:r>
        <w:t xml:space="preserve">. </w:t>
      </w:r>
      <w:r>
        <w:rPr>
          <w:i/>
          <w:iCs/>
        </w:rPr>
        <w:t>4</w:t>
      </w:r>
      <w:r>
        <w:t xml:space="preserve">, 1686. </w:t>
      </w:r>
      <w:hyperlink r:id="rId33">
        <w:r>
          <w:rPr>
            <w:rStyle w:val="Hyperlink"/>
          </w:rPr>
          <w:t>https://doi.org/10.21105/joss.01686</w:t>
        </w:r>
      </w:hyperlink>
      <w:bookmarkEnd w:id="16"/>
      <w:bookmarkEnd w:id="18"/>
      <w:bookmarkEnd w:id="43"/>
    </w:p>
    <w:sectPr w:rsidR="00D80212">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D779B" w14:textId="77777777" w:rsidR="00843FA9" w:rsidRDefault="00843FA9">
      <w:pPr>
        <w:spacing w:line="240" w:lineRule="auto"/>
      </w:pPr>
      <w:r>
        <w:separator/>
      </w:r>
    </w:p>
  </w:endnote>
  <w:endnote w:type="continuationSeparator" w:id="0">
    <w:p w14:paraId="024ACEAE" w14:textId="77777777" w:rsidR="00843FA9" w:rsidRDefault="00843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A2091" w14:textId="77777777" w:rsidR="00843FA9" w:rsidRDefault="00843FA9">
      <w:r>
        <w:separator/>
      </w:r>
    </w:p>
  </w:footnote>
  <w:footnote w:type="continuationSeparator" w:id="0">
    <w:p w14:paraId="49559286" w14:textId="77777777" w:rsidR="00843FA9" w:rsidRDefault="00843F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E628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6354065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12"/>
    <w:rsid w:val="000500EF"/>
    <w:rsid w:val="002E4F32"/>
    <w:rsid w:val="00843FA9"/>
    <w:rsid w:val="00D8021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06DB"/>
  <w15:docId w15:val="{83A9547F-54A3-452A-A54B-8DFB15D0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3D73FF"/>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pPr>
      <w:ind w:firstLine="0"/>
    </w:pPr>
  </w:style>
  <w:style w:type="character" w:customStyle="1" w:styleId="AbstractChar">
    <w:name w:val="Abstract Char"/>
    <w:basedOn w:val="DefaultParagraphFont"/>
    <w:link w:val="Abstract"/>
    <w:rsid w:val="003D73FF"/>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05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89/fnhum.2016.00175" TargetMode="External"/><Relationship Id="rId18" Type="http://schemas.openxmlformats.org/officeDocument/2006/relationships/hyperlink" Target="https://doi.org/10.1525/collabra.29542" TargetMode="External"/><Relationship Id="rId26" Type="http://schemas.openxmlformats.org/officeDocument/2006/relationships/hyperlink" Target="https://doi.org/10.3389/fnint.2014.00063" TargetMode="External"/><Relationship Id="rId3" Type="http://schemas.openxmlformats.org/officeDocument/2006/relationships/settings" Target="settings.xml"/><Relationship Id="rId21" Type="http://schemas.openxmlformats.org/officeDocument/2006/relationships/hyperlink" Target="https://doi.org/10.1177/03010066211057347"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162/neco_a_00226" TargetMode="External"/><Relationship Id="rId17" Type="http://schemas.openxmlformats.org/officeDocument/2006/relationships/hyperlink" Target="https://doi.org/10.1093/nc/niy006" TargetMode="External"/><Relationship Id="rId25" Type="http://schemas.openxmlformats.org/officeDocument/2006/relationships/hyperlink" Target="https://CRAN.R-project.org/package=BayesFactor" TargetMode="External"/><Relationship Id="rId33" Type="http://schemas.openxmlformats.org/officeDocument/2006/relationships/hyperlink" Target="https://doi.org/10.21105/joss.01686" TargetMode="External"/><Relationship Id="rId2" Type="http://schemas.openxmlformats.org/officeDocument/2006/relationships/styles" Target="styles.xml"/><Relationship Id="rId16" Type="http://schemas.openxmlformats.org/officeDocument/2006/relationships/hyperlink" Target="https://easystats.github.io/easystats/" TargetMode="External"/><Relationship Id="rId20" Type="http://schemas.openxmlformats.org/officeDocument/2006/relationships/hyperlink" Target="https://doi.org/10.21105/joss.01541" TargetMode="External"/><Relationship Id="rId29" Type="http://schemas.openxmlformats.org/officeDocument/2006/relationships/hyperlink" Target="https://doi.org/10.1007/s11055-014-997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rn2787" TargetMode="External"/><Relationship Id="rId24" Type="http://schemas.openxmlformats.org/officeDocument/2006/relationships/hyperlink" Target="https://doi.org/10.1002/aur.130" TargetMode="External"/><Relationship Id="rId32" Type="http://schemas.openxmlformats.org/officeDocument/2006/relationships/hyperlink" Target="https://doi.org/10.1177/0301006620962279" TargetMode="External"/><Relationship Id="rId5" Type="http://schemas.openxmlformats.org/officeDocument/2006/relationships/footnotes" Target="footnotes.xml"/><Relationship Id="rId15" Type="http://schemas.openxmlformats.org/officeDocument/2006/relationships/hyperlink" Target="https://doi.org/10.21105/joss.02445" TargetMode="External"/><Relationship Id="rId23" Type="http://schemas.openxmlformats.org/officeDocument/2006/relationships/hyperlink" Target="https://CRAN.R-project.org/package=correlation" TargetMode="External"/><Relationship Id="rId28" Type="http://schemas.openxmlformats.org/officeDocument/2006/relationships/hyperlink" Target="https://doi.org/10.21105/joss.04684" TargetMode="External"/><Relationship Id="rId10" Type="http://schemas.openxmlformats.org/officeDocument/2006/relationships/hyperlink" Target="https://doi.org/10.1037/cns0000230" TargetMode="External"/><Relationship Id="rId19" Type="http://schemas.openxmlformats.org/officeDocument/2006/relationships/hyperlink" Target="http://dx.doi.org/10.31234/osf.io/hw4y9" TargetMode="External"/><Relationship Id="rId31" Type="http://schemas.openxmlformats.org/officeDocument/2006/relationships/hyperlink" Target="https://doi.org/10.3758/s13428-024-02356-w" TargetMode="External"/><Relationship Id="rId4" Type="http://schemas.openxmlformats.org/officeDocument/2006/relationships/webSettings" Target="webSettings.xml"/><Relationship Id="rId9" Type="http://schemas.openxmlformats.org/officeDocument/2006/relationships/hyperlink" Target="https://doi.org/10.1016/j.schres.2022.12.030" TargetMode="External"/><Relationship Id="rId14" Type="http://schemas.openxmlformats.org/officeDocument/2006/relationships/hyperlink" Target="https://doi.org/10.1080/00223891.2011.577478" TargetMode="External"/><Relationship Id="rId22" Type="http://schemas.openxmlformats.org/officeDocument/2006/relationships/hyperlink" Target="https://doi.org/10.1038/s41598-023-33148-5" TargetMode="External"/><Relationship Id="rId27" Type="http://schemas.openxmlformats.org/officeDocument/2006/relationships/hyperlink" Target="https://doi.org/10.1037/bul0000097" TargetMode="External"/><Relationship Id="rId30" Type="http://schemas.openxmlformats.org/officeDocument/2006/relationships/hyperlink" Target="https://doi.org/10.1167/8.5.12" TargetMode="External"/><Relationship Id="rId35" Type="http://schemas.openxmlformats.org/officeDocument/2006/relationships/theme" Target="theme/theme1.xml"/><Relationship Id="rId8"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16</Pages>
  <Words>3887</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25992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illusion sensitivity, visual illusions, phenomenological control, suggestibility, hypnotizability</cp:keywords>
  <dc:description>ILLUSION SENSITIVITY AND PHENOMENOLOGICAL CONTROL</dc:description>
  <cp:lastModifiedBy>Ana Neves</cp:lastModifiedBy>
  <cp:revision>2</cp:revision>
  <dcterms:created xsi:type="dcterms:W3CDTF">2024-06-07T15:38:00Z</dcterms:created>
  <dcterms:modified xsi:type="dcterms:W3CDTF">2024-06-07T15:39:00Z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