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F254" w14:textId="77777777" w:rsidR="00781C31" w:rsidRDefault="00000000">
      <w:pPr>
        <w:pStyle w:val="FirstParagraph"/>
      </w:pPr>
      <w:r>
        <w:t xml:space="preserve"> </w:t>
      </w:r>
    </w:p>
    <w:p w14:paraId="422C6F7C" w14:textId="77777777" w:rsidR="00781C31" w:rsidRDefault="00000000">
      <w:pPr>
        <w:pStyle w:val="BodyText"/>
      </w:pPr>
      <w:r>
        <w:t xml:space="preserve"> </w:t>
      </w:r>
    </w:p>
    <w:p w14:paraId="3DBDC243" w14:textId="77777777" w:rsidR="00781C31" w:rsidRDefault="00000000">
      <w:pPr>
        <w:pStyle w:val="Heading1"/>
      </w:pPr>
      <w:bookmarkStart w:id="0" w:name="title"/>
      <w:r>
        <w:t>Testing the Relationship between Phenomenological Control related to Illusion Sensitivity</w:t>
      </w:r>
    </w:p>
    <w:p w14:paraId="33D2527E" w14:textId="77777777" w:rsidR="00781C31" w:rsidRDefault="00000000">
      <w:pPr>
        <w:pStyle w:val="Author"/>
      </w:pPr>
      <w:r>
        <w:t xml:space="preserve"> </w:t>
      </w:r>
    </w:p>
    <w:p w14:paraId="26B3708F" w14:textId="77777777" w:rsidR="00781C31" w:rsidRDefault="00000000">
      <w:pPr>
        <w:pStyle w:val="Author"/>
      </w:pPr>
      <w:r>
        <w:t>Dominique Makowski and Ana Neves</w:t>
      </w:r>
    </w:p>
    <w:p w14:paraId="4CF1EE0C" w14:textId="77777777" w:rsidR="00781C31" w:rsidRDefault="00000000">
      <w:pPr>
        <w:pStyle w:val="Author"/>
      </w:pPr>
      <w:r>
        <w:t>School of Psychology, University of Sussex</w:t>
      </w:r>
    </w:p>
    <w:p w14:paraId="784622DD" w14:textId="77777777" w:rsidR="00781C31" w:rsidRDefault="00000000">
      <w:pPr>
        <w:pStyle w:val="BodyText"/>
      </w:pPr>
      <w:r>
        <w:t xml:space="preserve"> </w:t>
      </w:r>
    </w:p>
    <w:p w14:paraId="35B476B1" w14:textId="77777777" w:rsidR="00781C31" w:rsidRDefault="00000000">
      <w:pPr>
        <w:pStyle w:val="BodyText"/>
      </w:pPr>
      <w:r>
        <w:t xml:space="preserve"> </w:t>
      </w:r>
    </w:p>
    <w:p w14:paraId="673A2842" w14:textId="77777777" w:rsidR="00781C31" w:rsidRDefault="00000000">
      <w:pPr>
        <w:pStyle w:val="Heading1"/>
      </w:pPr>
      <w:bookmarkStart w:id="1" w:name="author-note"/>
      <w:bookmarkEnd w:id="0"/>
      <w:r>
        <w:t>Author Note</w:t>
      </w:r>
    </w:p>
    <w:p w14:paraId="3D276283" w14:textId="77777777" w:rsidR="00781C31" w:rsidRDefault="00000000">
      <w:pPr>
        <w:pStyle w:val="FirstParagraph"/>
      </w:pPr>
      <w:r>
        <w:t xml:space="preserve">Dominique Makowski </w:t>
      </w:r>
      <w:r>
        <w:rPr>
          <w:noProof/>
        </w:rPr>
        <w:drawing>
          <wp:inline distT="0" distB="0" distL="0" distR="0" wp14:anchorId="319CE5F0" wp14:editId="6B2DFAFB">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2AFB2311" w14:textId="77777777" w:rsidR="00781C31" w:rsidRDefault="00000000">
      <w:pPr>
        <w:pStyle w:val="BodyText"/>
      </w:pPr>
      <w:r>
        <w:t xml:space="preserve">Ana Neves </w:t>
      </w:r>
      <w:bookmarkStart w:id="2" w:name="orchid"/>
      <w:r>
        <w:rPr>
          <w:noProof/>
        </w:rPr>
        <w:drawing>
          <wp:inline distT="0" distB="0" distL="0" distR="0" wp14:anchorId="5E02645F" wp14:editId="1CD16DA6">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7F7D1718" w14:textId="77777777" w:rsidR="00781C31"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7CEBDE57" w14:textId="77777777" w:rsidR="00781C31" w:rsidRDefault="00000000">
      <w:pPr>
        <w:pStyle w:val="BodyText"/>
      </w:pPr>
      <w:r>
        <w:t>Correspondence concerning this article should be addressed to Dominique Makowski, School of Psychology, University of Sussex, Email: D.Makowski@sussex.ac.uk</w:t>
      </w:r>
    </w:p>
    <w:p w14:paraId="7FBD9BB9" w14:textId="77777777" w:rsidR="00781C31" w:rsidRDefault="00000000">
      <w:r>
        <w:br w:type="page"/>
      </w:r>
    </w:p>
    <w:p w14:paraId="280C0C9B" w14:textId="77777777" w:rsidR="00781C31" w:rsidRDefault="00000000">
      <w:pPr>
        <w:pStyle w:val="Heading1"/>
      </w:pPr>
      <w:bookmarkStart w:id="3" w:name="abstract"/>
      <w:bookmarkEnd w:id="1"/>
      <w:r>
        <w:lastRenderedPageBreak/>
        <w:t>Abstract</w:t>
      </w:r>
    </w:p>
    <w:p w14:paraId="714C6EA5" w14:textId="77777777" w:rsidR="00781C31"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1C3DB611" w14:textId="77777777" w:rsidR="00781C31" w:rsidRDefault="00000000">
      <w:pPr>
        <w:pStyle w:val="BodyText"/>
      </w:pPr>
      <w:r>
        <w:rPr>
          <w:i/>
          <w:iCs/>
        </w:rPr>
        <w:t>Keywords</w:t>
      </w:r>
      <w:r>
        <w:t>: illusion sensitivity, visual illusions, phenomenological control, suggestibility, hypnotizability</w:t>
      </w:r>
    </w:p>
    <w:p w14:paraId="067E630D" w14:textId="77777777" w:rsidR="00781C31" w:rsidRDefault="00000000">
      <w:r>
        <w:br w:type="page"/>
      </w:r>
    </w:p>
    <w:p w14:paraId="39AA9807" w14:textId="77777777" w:rsidR="00781C31" w:rsidRDefault="00000000">
      <w:pPr>
        <w:pStyle w:val="Heading1"/>
      </w:pPr>
      <w:bookmarkStart w:id="4" w:name="firstheader"/>
      <w:bookmarkEnd w:id="3"/>
      <w:r>
        <w:lastRenderedPageBreak/>
        <w:t>Testing the Relationship between Phenomenological Control related to Illusion Sensitivity</w:t>
      </w:r>
    </w:p>
    <w:p w14:paraId="6097281F" w14:textId="77777777" w:rsidR="00781C31" w:rsidRDefault="00000000">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w:t>
      </w:r>
      <w:r>
        <w:rPr>
          <w:b/>
          <w:bCs/>
        </w:rPr>
        <w:t>In particular, illusions have been reframed using a predictive coding account of perception (e.g., Notredame et al., 2014; Nour &amp; Nour, 2015)</w:t>
      </w:r>
      <w:r>
        <w:t xml:space="preserve"> in which the brain optimally combines, using some flavour of Bayesian inference, perceptual inputs with prior knowledge to make sense of ambiguous environments (Friston, 2010).</w:t>
      </w:r>
    </w:p>
    <w:p w14:paraId="21EB1677" w14:textId="77777777" w:rsidR="00781C31"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2C9879B" w14:textId="77777777" w:rsidR="00781C31"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18641DE0" w14:textId="77777777" w:rsidR="00781C31" w:rsidRDefault="00000000">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w:t>
      </w:r>
      <w:r>
        <w:rPr>
          <w:b/>
          <w:bCs/>
        </w:rPr>
        <w:t>sensitivity</w:t>
      </w:r>
      <w:r>
        <w:t>.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53DAE8AD" w14:textId="77777777" w:rsidR="00781C31"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 xml:space="preserve">from the difficulty of the perceptual task. This paradigm, inspired by psychophysics, lends itself to the computational modelling of illusion sensitivity through its </w:t>
      </w:r>
      <w:r>
        <w:rPr>
          <w:b/>
          <w:bCs/>
        </w:rPr>
        <w:t>interference effect —an effect that disrupts an individual’s ability to accurately discriminate between perceptual stimuli.</w:t>
      </w:r>
      <w:r>
        <w:t xml:space="preserve"> </w:t>
      </w:r>
      <w:r>
        <w:rPr>
          <w:b/>
          <w:bCs/>
        </w:rPr>
        <w:t>This approach aims to bypass some of the metacognitive processes involved in other paradigms, offering a more direct and objective measure of how illusions influence perceptual judgment.</w:t>
      </w:r>
    </w:p>
    <w:p w14:paraId="101D0792" w14:textId="77777777" w:rsidR="00781C31" w:rsidRDefault="00000000">
      <w:pPr>
        <w:pStyle w:val="BodyText"/>
      </w:pPr>
      <w:r>
        <w:t xml:space="preserve">Interestingly, the fact that inter-individual variability in illusion sensitivity seems to persist in this task suggests that it is not solely explained by </w:t>
      </w:r>
      <w:r>
        <w:rPr>
          <w:b/>
          <w:bCs/>
        </w:rPr>
        <w:t>metacognitive ability differences</w:t>
      </w:r>
      <w:r>
        <w:t>, and gives rise to the following question: is the variability in illusion sensitivity related to low-level perceptual processes (e.g., baseline precision of perceptual priors), or rather to the ability to actively control and “resist” the illusion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44B833E5" w14:textId="77777777" w:rsidR="00781C31"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69ABB972" w14:textId="77777777" w:rsidR="00781C31" w:rsidRDefault="00000000">
      <w:pPr>
        <w:pStyle w:val="BodyText"/>
      </w:pPr>
      <w:r>
        <w:lastRenderedPageBreak/>
        <w:t xml:space="preserve">To encourage the empirical exploration of our ability and tendency to alter our phenomenological experience and further accelerate investigations away from the hypnotic context, Lush et al. (2021) adapted the Sussex-Waterloo Scale of Hypnotisability (SWASH, Lush et al., 2018) by removing all its references to hypnosis, to measure trait phenomenological control. </w:t>
      </w:r>
      <w:r>
        <w:rPr>
          <w:b/>
          <w:bCs/>
        </w:rPr>
        <w:t>This newly developed phenomenological control scale (PCS) consists of 10 imaginative suggestions followed by subjective ratings for each suggestion and has demonstrated validity in online experiments (Lush et al., 2022).</w:t>
      </w:r>
    </w:p>
    <w:p w14:paraId="7BF641C6" w14:textId="77777777" w:rsidR="00781C31"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 </w:t>
      </w:r>
      <w:r>
        <w:rPr>
          <w:b/>
          <w:bCs/>
          <w:i/>
          <w:iCs/>
        </w:rPr>
        <w:t>perceptual</w:t>
      </w:r>
      <w:r>
        <w:rPr>
          <w:b/>
          <w:bCs/>
        </w:rPr>
        <w:t xml:space="preserve"> priors)</w:t>
      </w:r>
      <w:r>
        <w:t>.</w:t>
      </w:r>
    </w:p>
    <w:p w14:paraId="31463055" w14:textId="77777777" w:rsidR="00781C31" w:rsidRDefault="00000000">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 </w:t>
      </w:r>
      <w:r>
        <w:rPr>
          <w:b/>
          <w:bCs/>
        </w:rPr>
        <w:t>Additionally, we will explore the relationship between psychoticism, as a proxy for schizophrenia, and illusion sensitivity to assess the potential impact of lower-level effects—such as weak priors observed in individuals with schizophrenia (Costa et al., 2023)—on sensitivity to illusions.</w:t>
      </w:r>
      <w:r>
        <w:t xml:space="preserve"> </w:t>
      </w:r>
      <w:r>
        <w:rPr>
          <w:b/>
          <w:bCs/>
        </w:rPr>
        <w:t>These analyses may offer evidence clarifying whether inter-</w:t>
      </w:r>
      <w:r>
        <w:rPr>
          <w:b/>
          <w:bCs/>
        </w:rPr>
        <w:lastRenderedPageBreak/>
        <w:t>individual variability in illusion sensitivity is driven by lower-level perceptual mechanisms or higher-level cognitive processes (</w:t>
      </w:r>
      <w:hyperlink w:anchor="tbl-DesignTable">
        <w:r w:rsidR="00781C31">
          <w:rPr>
            <w:rStyle w:val="Hyperlink"/>
            <w:b/>
            <w:bCs/>
          </w:rPr>
          <w:t>Table 1</w:t>
        </w:r>
      </w:hyperlink>
      <w:r>
        <w:rPr>
          <w:b/>
          <w:bCs/>
        </w:rPr>
        <w:t>).</w:t>
      </w:r>
    </w:p>
    <w:p w14:paraId="6CB8F9D4" w14:textId="77777777" w:rsidR="00781C31" w:rsidRDefault="00000000">
      <w:pPr>
        <w:pStyle w:val="FigureTitle"/>
      </w:pPr>
      <w:bookmarkStart w:id="5" w:name="tbl-DesignTable"/>
      <w:r>
        <w:t>Table 1</w:t>
      </w:r>
    </w:p>
    <w:p w14:paraId="0F5528C3" w14:textId="77777777" w:rsidR="00781C31" w:rsidRDefault="00000000">
      <w:pPr>
        <w:pStyle w:val="Caption"/>
      </w:pPr>
      <w:r>
        <w:t>Study Design Table</w:t>
      </w:r>
    </w:p>
    <w:tbl>
      <w:tblPr>
        <w:tblW w:w="5000" w:type="pct"/>
        <w:jc w:val="center"/>
        <w:tblLook w:val="0420" w:firstRow="1" w:lastRow="0" w:firstColumn="0" w:lastColumn="0" w:noHBand="0" w:noVBand="1"/>
      </w:tblPr>
      <w:tblGrid>
        <w:gridCol w:w="2131"/>
        <w:gridCol w:w="7229"/>
      </w:tblGrid>
      <w:tr w:rsidR="00781C31" w14:paraId="3092F33B"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9864C"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Question</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1FA0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 there a correlation between trait phenomenological control (PC) and visual illusion (VI) sensitivity? Additionally, is there a relationship between VI sensitivity and the psychoticism facet of the PID-5, as a proxy for schizophrenia-related traits?</w:t>
            </w:r>
          </w:p>
        </w:tc>
      </w:tr>
      <w:tr w:rsidR="00781C31" w14:paraId="42BB43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F9ED"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Hypothesis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A44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rsidR="00781C31" w14:paraId="3DC7F5C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A96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Sampling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ABF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goal is to recruit around 500 adult English speakers using Prolific. This sample size is based on the ones used in Lush et al., 2021 and Lush et al., 2022 that we aim at replicate.</w:t>
            </w:r>
          </w:p>
        </w:tc>
      </w:tr>
      <w:tr w:rsidR="00781C31" w14:paraId="209CB8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AA7B"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Analysis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8017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rsidR="00781C31" w14:paraId="010B04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BB151"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Rationale for Deciding the </w:t>
            </w:r>
            <w:r>
              <w:rPr>
                <w:rFonts w:ascii="Times New Roman" w:eastAsia="Times New Roman" w:hAnsi="Times New Roman" w:cs="Times New Roman"/>
                <w:b/>
                <w:color w:val="000000"/>
                <w:sz w:val="22"/>
                <w:szCs w:val="22"/>
              </w:rPr>
              <w:lastRenderedPageBreak/>
              <w:t>Sensitivity of the 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37A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For the PC–VI sensitivity relationship, we will interpret BF₁₀ ≤ 1/3 as evidence against a relationship, in line with Lush et al. (2022). For the psychoticism–VI </w:t>
            </w:r>
            <w:r>
              <w:rPr>
                <w:rFonts w:ascii="Times New Roman" w:eastAsia="Times New Roman" w:hAnsi="Times New Roman" w:cs="Times New Roman"/>
                <w:color w:val="000000"/>
                <w:sz w:val="22"/>
                <w:szCs w:val="22"/>
              </w:rPr>
              <w:lastRenderedPageBreak/>
              <w:t>sensitivity relationship, BF₁₀ &gt; 3 will be interpreted as evidence supporting a relationship, following findings by Makowski et al. (2023).</w:t>
            </w:r>
          </w:p>
        </w:tc>
      </w:tr>
      <w:tr w:rsidR="00781C31" w14:paraId="7DEC87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7B88"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Interpretation Given Different Outcomes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DC6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rsidR="00781C31" w14:paraId="47198E03"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29B1C0"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Theory That Could Be Shown Wrong by the Outcomes</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894FF79"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p w14:paraId="3A69E6C0" w14:textId="77777777" w:rsidR="00781C31" w:rsidRDefault="00000000">
      <w:pPr>
        <w:pStyle w:val="Heading1"/>
      </w:pPr>
      <w:bookmarkStart w:id="6" w:name="methods"/>
      <w:bookmarkEnd w:id="4"/>
      <w:bookmarkEnd w:id="5"/>
      <w:r>
        <w:t>Methods</w:t>
      </w:r>
    </w:p>
    <w:p w14:paraId="0BC62F8A" w14:textId="77777777" w:rsidR="00781C31" w:rsidRDefault="00000000">
      <w:pPr>
        <w:pStyle w:val="Heading2"/>
      </w:pPr>
      <w:bookmarkStart w:id="7" w:name="participants"/>
      <w:r>
        <w:t>Participants</w:t>
      </w:r>
    </w:p>
    <w:p w14:paraId="4D1A882A" w14:textId="77777777" w:rsidR="00781C31"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0DE69498" w14:textId="77777777" w:rsidR="00781C31" w:rsidRDefault="00000000">
      <w:pPr>
        <w:pStyle w:val="Heading2"/>
      </w:pPr>
      <w:bookmarkStart w:id="8" w:name="procedure"/>
      <w:bookmarkEnd w:id="7"/>
      <w:r>
        <w:t>Procedure</w:t>
      </w:r>
    </w:p>
    <w:p w14:paraId="61DF3CD2" w14:textId="77777777" w:rsidR="00781C31"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Participant’s </w:t>
      </w:r>
      <w:r>
        <w:lastRenderedPageBreak/>
        <w:t xml:space="preserve">raw data files (containing identifiers) </w:t>
      </w:r>
      <w:r>
        <w:rPr>
          <w:b/>
          <w:bCs/>
        </w:rPr>
        <w:t>are</w:t>
      </w:r>
      <w:r>
        <w:t xml:space="preserve"> automatically stored in a private OSF repository. The preprocessing and analysis scripts, as well as the anonymized data, will be available directly on GitHub, ensuring the transparency and reproducibility of all the analysis steps.</w:t>
      </w:r>
    </w:p>
    <w:p w14:paraId="4C2D2792" w14:textId="02DBE73E" w:rsidR="00781C31" w:rsidRDefault="00000000">
      <w:pPr>
        <w:pStyle w:val="BodyText"/>
      </w:pPr>
      <w:r>
        <w:t xml:space="preserve">Participants will be presented with a consent form followed by demographic questions (gender, education level, age, and ethnicity). </w:t>
      </w:r>
      <w:r>
        <w:rPr>
          <w:b/>
          <w:bCs/>
        </w:rPr>
        <w:t xml:space="preserve">Although these variables are not directly analyzed in the current study, they will be used </w:t>
      </w:r>
      <w:del w:id="9" w:author="Ana Neves" w:date="2025-05-01T11:22:00Z" w16du:dateUtc="2025-05-01T10:22:00Z">
        <w:r w:rsidDel="00414E2F">
          <w:rPr>
            <w:b/>
            <w:bCs/>
          </w:rPr>
          <w:delText xml:space="preserve">to provide </w:delText>
        </w:r>
      </w:del>
      <w:r>
        <w:rPr>
          <w:b/>
          <w:bCs/>
        </w:rPr>
        <w:t xml:space="preserve">to provide a detailed and thorough description of the sample and </w:t>
      </w:r>
      <w:proofErr w:type="gramStart"/>
      <w:r>
        <w:rPr>
          <w:b/>
          <w:bCs/>
        </w:rPr>
        <w:t>maximizing</w:t>
      </w:r>
      <w:proofErr w:type="gramEnd"/>
      <w:r>
        <w:rPr>
          <w:b/>
          <w:bCs/>
        </w:rPr>
        <w:t xml:space="preserve"> data reusability.</w:t>
      </w:r>
      <w:r>
        <w:t xml:space="preserve"> </w:t>
      </w:r>
      <w:r>
        <w:rPr>
          <w:b/>
          <w:bCs/>
        </w:rPr>
        <w:t>Participants will then be administered the PCS and the Illusion Game task (IG) in a counterbalanced order.</w:t>
      </w:r>
    </w:p>
    <w:p w14:paraId="7B53D95D" w14:textId="77777777" w:rsidR="00781C31" w:rsidRDefault="00000000">
      <w:pPr>
        <w:pStyle w:val="Heading3"/>
      </w:pPr>
      <w:bookmarkStart w:id="10" w:name="phenomenological-control-scale-pcs"/>
      <w:r>
        <w:t>Phenomenological Control Scale (PCS)</w:t>
      </w:r>
    </w:p>
    <w:p w14:paraId="5AC6B002" w14:textId="5FAF19C9" w:rsidR="00781C31" w:rsidRDefault="00000000">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w:t>
      </w:r>
      <w:r>
        <w:rPr>
          <w:b/>
          <w:bCs/>
        </w:rPr>
        <w:t>Once the 10 suggestions are completed, participants will be asked to rate their subjective experiences and response to each suggestion on a 6-points Likert scale (from 0-5).</w:t>
      </w:r>
      <w:r>
        <w:t xml:space="preserve"> Phenomenological control will be indexed by averaging the scores from the 10 scales</w:t>
      </w:r>
      <w:ins w:id="11" w:author="Ana Neves" w:date="2025-05-01T11:32:00Z" w16du:dateUtc="2025-05-01T10:32:00Z">
        <w:r w:rsidR="00C07496">
          <w:t>,</w:t>
        </w:r>
      </w:ins>
      <w:del w:id="12" w:author="Ana Neves" w:date="2025-05-01T11:23:00Z" w16du:dateUtc="2025-05-01T10:23:00Z">
        <w:r w:rsidDel="00414E2F">
          <w:delText>.</w:delText>
        </w:r>
      </w:del>
    </w:p>
    <w:p w14:paraId="135B13DF" w14:textId="77777777" w:rsidR="00781C31" w:rsidRDefault="00000000">
      <w:pPr>
        <w:pStyle w:val="Heading3"/>
      </w:pPr>
      <w:bookmarkStart w:id="13" w:name="illusion-game"/>
      <w:bookmarkEnd w:id="10"/>
      <w:r>
        <w:t>Illusion Game</w:t>
      </w:r>
    </w:p>
    <w:p w14:paraId="28160F01" w14:textId="77777777" w:rsidR="00781C31" w:rsidRDefault="00000000">
      <w:pPr>
        <w:pStyle w:val="FirstParagraph"/>
      </w:pPr>
      <w:r>
        <w:t xml:space="preserve">The task is an adaptation of the one used in Makowski et al. (2023) to make it shorter, in which participants must make perceptual judgments (e.g., “which red line is the longer”) as quickly and accurately as possible. It includes 3 illusion types, namely Ebbinghaus, Müller-Lyer, </w:t>
      </w:r>
      <w:r>
        <w:lastRenderedPageBreak/>
        <w:t xml:space="preserve">and Vertical-Horizontal (see </w:t>
      </w:r>
      <w:hyperlink w:anchor="fig-illusionexample">
        <w:r w:rsidR="00781C31">
          <w:rPr>
            <w:rStyle w:val="Hyperlink"/>
          </w:rPr>
          <w:t>Figure 1</w:t>
        </w:r>
      </w:hyperlink>
      <w:r>
        <w:t xml:space="preserve">). </w:t>
      </w:r>
      <w:r>
        <w:rPr>
          <w:b/>
          <w:bCs/>
        </w:rPr>
        <w:t>In the original Illusion Game, 10 visual illusions were presented in two sets, following a practice trial, and separated by two short questionnaires.</w:t>
      </w:r>
      <w:r>
        <w:t xml:space="preserve"> </w:t>
      </w:r>
      <w:r>
        <w:rPr>
          <w:b/>
          <w:bCs/>
        </w:rPr>
        <w:t>Participants completed a total of 1,340 trials, with the experiment lasting approximately 55 minutes.</w:t>
      </w:r>
      <w:r>
        <w:t xml:space="preserve"> </w:t>
      </w:r>
      <w:r>
        <w:rPr>
          <w:b/>
          <w:bCs/>
        </w:rPr>
        <w:t>In the current procedure, only three illusions are used, selected based on the original study’s findings that these illusions most strongly contribute to illusion sensitivity.</w:t>
      </w:r>
    </w:p>
    <w:p w14:paraId="714A6DA8" w14:textId="77777777" w:rsidR="00781C31" w:rsidRDefault="00000000">
      <w:pPr>
        <w:pStyle w:val="FigureTitle"/>
      </w:pPr>
      <w:bookmarkStart w:id="14" w:name="fig-illusionexample"/>
      <w:r>
        <w:t>Figure 1</w:t>
      </w:r>
    </w:p>
    <w:p w14:paraId="4F5DAD22" w14:textId="77777777" w:rsidR="00781C31" w:rsidRDefault="00000000">
      <w:pPr>
        <w:pStyle w:val="Caption"/>
      </w:pPr>
      <w:r>
        <w:t>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14:paraId="57C7C8CB" w14:textId="77777777" w:rsidR="00781C31" w:rsidRDefault="00000000">
      <w:pPr>
        <w:pStyle w:val="FigureWithoutNote"/>
      </w:pPr>
      <w:r>
        <w:rPr>
          <w:noProof/>
        </w:rPr>
        <w:drawing>
          <wp:inline distT="0" distB="0" distL="0" distR="0" wp14:anchorId="29684AAE" wp14:editId="2105B2BB">
            <wp:extent cx="5943600" cy="271501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g/IllusionTable.jpg"/>
                    <pic:cNvPicPr>
                      <a:picLocks noChangeAspect="1" noChangeArrowheads="1"/>
                    </pic:cNvPicPr>
                  </pic:nvPicPr>
                  <pic:blipFill>
                    <a:blip r:embed="rId9"/>
                    <a:stretch>
                      <a:fillRect/>
                    </a:stretch>
                  </pic:blipFill>
                  <pic:spPr bwMode="auto">
                    <a:xfrm>
                      <a:off x="0" y="0"/>
                      <a:ext cx="5943600" cy="2715011"/>
                    </a:xfrm>
                    <a:prstGeom prst="rect">
                      <a:avLst/>
                    </a:prstGeom>
                    <a:noFill/>
                    <a:ln w="9525">
                      <a:noFill/>
                      <a:headEnd/>
                      <a:tailEnd/>
                    </a:ln>
                  </pic:spPr>
                </pic:pic>
              </a:graphicData>
            </a:graphic>
          </wp:inline>
        </w:drawing>
      </w:r>
    </w:p>
    <w:bookmarkEnd w:id="14"/>
    <w:p w14:paraId="266EEC9D" w14:textId="77777777" w:rsidR="00781C31" w:rsidRDefault="00000000">
      <w:pPr>
        <w:pStyle w:val="AfterWithoutNote"/>
      </w:pPr>
      <w:r>
        <w:t xml:space="preserve">The procedure encompasses 2 sets of 80 trials for each illusion type, </w:t>
      </w:r>
      <w:r>
        <w:rPr>
          <w:b/>
          <w:bCs/>
        </w:rPr>
        <w:t>preceded by a practice trial for each illusion</w:t>
      </w:r>
      <w:r>
        <w:t xml:space="preserv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an arbitrary </w:t>
      </w:r>
      <w:r>
        <w:lastRenderedPageBreak/>
        <w:t>score is presented (computed as a scaled Inverse Efficiency Score) as a gamification mechanism to increase motivation to perform to the best of one’s abilities. To mitigate for the potential variability in the speed/accuracy trade-off, the instructions emphasize with equal weight to be fast and to avoid errors.</w:t>
      </w:r>
    </w:p>
    <w:p w14:paraId="087806D9" w14:textId="77777777" w:rsidR="00781C31" w:rsidRDefault="00000000">
      <w:pPr>
        <w:pStyle w:val="BodyText"/>
      </w:pPr>
      <w:r>
        <w:t xml:space="preserve">For each illusion type, two continuous dimensions are orthogonally manipulated namely task difficulty and illusion strength, so that each trial corresponds to a unique combination, </w:t>
      </w:r>
      <w:r>
        <w:rPr>
          <w:b/>
          <w:bCs/>
        </w:rPr>
        <w:t>providing an objectively correct answer for each trial.</w:t>
      </w:r>
      <w:r>
        <w:t xml:space="preserve"> </w:t>
      </w:r>
      <w:r>
        <w:rPr>
          <w:b/>
          <w:bCs/>
        </w:rPr>
        <w:t>The use of these manipulations allows concise, standardised reporting of illusion parameters and ensures our stimuli are fully reproducible (see Makowski et al., 2021).</w:t>
      </w:r>
    </w:p>
    <w:p w14:paraId="7FAB7511" w14:textId="77777777" w:rsidR="00781C31" w:rsidRDefault="00000000">
      <w:pPr>
        <w:pStyle w:val="BodyText"/>
      </w:pPr>
      <w:r>
        <w:t xml:space="preserve">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either “incongruent”, </w:t>
      </w:r>
      <w:r>
        <w:rPr>
          <w:b/>
          <w:bCs/>
        </w:rPr>
        <w:t>making the task more difficult by biasing perceptual decisions toward the incorrect response</w:t>
      </w:r>
      <w:r>
        <w:t xml:space="preserve"> or “congruent”, </w:t>
      </w:r>
      <w:r>
        <w:rPr>
          <w:b/>
          <w:bCs/>
        </w:rPr>
        <w:t>making the task easier by biasing decisions toward the correct response (e.g., in the Müller-Lyer illusion, if the outwards-facing arrowheads are placed on the longer line, identifying which line is the longest becomes easier)</w:t>
      </w:r>
      <w:r>
        <w:t>. Participants respond with a key arrow (left vs. right; or up vs. down), and their reaction time (RT) and accuracy are recorded.</w:t>
      </w:r>
    </w:p>
    <w:p w14:paraId="6FB6FCE4" w14:textId="77777777" w:rsidR="00781C31" w:rsidRDefault="00000000">
      <w:pPr>
        <w:pStyle w:val="BodyText"/>
      </w:pPr>
      <w:r>
        <w:t xml:space="preserve">Visual illusion sensitivity will be measured as the average error rate in the incongruent condition, and separately for the 3 illusion types. Although the error rate is arguably a crude score, which does not take into account the effect of varying illusion strength, the interaction with task difficulty and the possible adjustments in response strategy (speed-accuracy trade off), </w:t>
      </w:r>
      <w:r>
        <w:lastRenderedPageBreak/>
        <w:t xml:space="preserve">it is also the most simple and easy to reproduce, hence its usage as our primary outcome for the current </w:t>
      </w:r>
      <w:r>
        <w:rPr>
          <w:b/>
          <w:bCs/>
        </w:rPr>
        <w:t>registered report</w:t>
      </w:r>
      <w:r>
        <w:t xml:space="preserve">. </w:t>
      </w:r>
      <w:r>
        <w:rPr>
          <w:b/>
          <w:bCs/>
        </w:rPr>
        <w:t>As a secondary exploratory outcome, the Inverse Efficiency Score (IES, Townsend &amp; Ashby, 2014) will also be computed. This metric incorporates both speed and accuracy by dividing the mean reaction time of correct responses by the proportion of correct responses, separately for each illusion.</w:t>
      </w:r>
    </w:p>
    <w:p w14:paraId="5A10B06F" w14:textId="2D68BD54" w:rsidR="00781C31" w:rsidRDefault="00000000">
      <w:pPr>
        <w:pStyle w:val="BodyText"/>
      </w:pPr>
      <w:r>
        <w:t>The two sets of 3 illusion blocks will be separated by 2 short questionnaires</w:t>
      </w:r>
      <w:del w:id="15" w:author="Ana Neves" w:date="2025-05-01T11:41:00Z" w16du:dateUtc="2025-05-01T10:41:00Z">
        <w:r w:rsidDel="00F77B86">
          <w:delText xml:space="preserve"> acting as a break</w:delText>
        </w:r>
      </w:del>
      <w:r>
        <w:t xml:space="preserve">, namely the IPIP-6 (Sibley et al., 2011), measuring 6 personality traits with 24 analogue scales items, and the PID-5 (Krueger et al., 2011), measuring 5 maladaptive personality traits with 25 Likert scales items. These questionnaires are included as a way of providing a break between the two cognitively taxing blocks and maintain paradigmatic consistency with previous studies (Makowski et al., 2023). </w:t>
      </w:r>
      <w:r>
        <w:rPr>
          <w:b/>
          <w:bCs/>
        </w:rPr>
        <w:t>Additionally, the psychoticism subscale of the PID-5 will be used to examine the correlation between maladaptive traits and illusion sensitivity, evaluating the existence of the link proposed in previous studies (Costa et al., 2023).</w:t>
      </w:r>
    </w:p>
    <w:p w14:paraId="4D4D8B09" w14:textId="77777777" w:rsidR="00781C31" w:rsidRDefault="00000000">
      <w:pPr>
        <w:pStyle w:val="Heading2"/>
      </w:pPr>
      <w:bookmarkStart w:id="16" w:name="data-analysis"/>
      <w:bookmarkEnd w:id="8"/>
      <w:bookmarkEnd w:id="13"/>
      <w:commentRangeStart w:id="17"/>
      <w:r>
        <w:t>Data Analysis</w:t>
      </w:r>
      <w:commentRangeEnd w:id="17"/>
      <w:r w:rsidR="009132FF">
        <w:rPr>
          <w:rStyle w:val="CommentReference"/>
          <w:rFonts w:asciiTheme="minorHAnsi" w:eastAsiaTheme="minorHAnsi" w:hAnsiTheme="minorHAnsi" w:cstheme="minorBidi"/>
          <w:b w:val="0"/>
          <w:bCs w:val="0"/>
        </w:rPr>
        <w:commentReference w:id="17"/>
      </w:r>
    </w:p>
    <w:p w14:paraId="32DBA3A6" w14:textId="77777777" w:rsidR="00781C31" w:rsidRDefault="00000000">
      <w:pPr>
        <w:pStyle w:val="FirstParagraph"/>
      </w:pPr>
      <w:r>
        <w:t xml:space="preserve">The PCS will contain several manipulation check indices to identify problematic participants. </w:t>
      </w:r>
      <w:r>
        <w:rPr>
          <w:b/>
          <w:bCs/>
        </w:rPr>
        <w:t>The phenomenological control task consists of various auditory and visual exercises.</w:t>
      </w:r>
      <w:r>
        <w:t xml:space="preserve"> </w:t>
      </w:r>
      <w:r>
        <w:rPr>
          <w:b/>
          <w:bCs/>
        </w:rPr>
        <w:t>At the start of the task, participants first hear someone say “hello.” They are then asked to choose from several options, including “Hello,” “Goodbye,” “How are you,” and “Thank you”.</w:t>
      </w:r>
      <w:r>
        <w:t xml:space="preserve"> </w:t>
      </w:r>
      <w:r>
        <w:rPr>
          <w:b/>
          <w:bCs/>
        </w:rPr>
        <w:t>Any participant who selects an option other than the correct one will be considered inattentive</w:t>
      </w:r>
      <w:r>
        <w:t xml:space="preserve"> </w:t>
      </w:r>
      <w:r>
        <w:rPr>
          <w:b/>
          <w:bCs/>
        </w:rPr>
        <w:t>In another exercise, participants receive the following instruction: “Open your eyes. You will see only two balls on the screen…just two balls”.</w:t>
      </w:r>
      <w:r>
        <w:t xml:space="preserve"> </w:t>
      </w:r>
      <w:r>
        <w:rPr>
          <w:b/>
          <w:bCs/>
        </w:rPr>
        <w:t>However, three differently coloured balls are actually displayed.</w:t>
      </w:r>
      <w:r>
        <w:t xml:space="preserve"> </w:t>
      </w:r>
      <w:r>
        <w:rPr>
          <w:b/>
          <w:bCs/>
        </w:rPr>
        <w:t xml:space="preserve">If participants select the option “no balls were shown”, it indicates they failed to pay attention to both the auditory instructions and </w:t>
      </w:r>
      <w:r>
        <w:rPr>
          <w:b/>
          <w:bCs/>
        </w:rPr>
        <w:lastRenderedPageBreak/>
        <w:t>the visual stimuli.</w:t>
      </w:r>
      <w:r>
        <w:t xml:space="preserve"> </w:t>
      </w:r>
      <w:r>
        <w:rPr>
          <w:b/>
          <w:bCs/>
        </w:rPr>
        <w:t>Lastly, in another exercise, participants are asked to press the spacebar six times.</w:t>
      </w:r>
      <w:r>
        <w:t xml:space="preserve"> </w:t>
      </w:r>
      <w:r>
        <w:rPr>
          <w:b/>
          <w:bCs/>
        </w:rPr>
        <w:t>If they press it fewer than five times within the allotted time, it suggests a lack of attentiveness to the auditory instructions</w:t>
      </w:r>
      <w:r w:rsidRPr="00214DDB">
        <w:rPr>
          <w:b/>
          <w:bCs/>
          <w:highlight w:val="green"/>
        </w:rPr>
        <w:t>.</w:t>
      </w:r>
      <w:r w:rsidRPr="00214DDB">
        <w:rPr>
          <w:highlight w:val="green"/>
        </w:rPr>
        <w:t xml:space="preserve"> </w:t>
      </w:r>
      <w:r w:rsidRPr="00214DDB">
        <w:rPr>
          <w:b/>
          <w:bCs/>
          <w:highlight w:val="green"/>
        </w:rPr>
        <w:t>Participants will be excluded if they fail at least one of these checks.</w:t>
      </w:r>
      <w:r>
        <w:t xml:space="preserve"> </w:t>
      </w:r>
      <w:r>
        <w:rPr>
          <w:b/>
          <w:bCs/>
        </w:rPr>
        <w:t xml:space="preserve">Lastly, </w:t>
      </w:r>
      <w:r w:rsidRPr="00214DDB">
        <w:rPr>
          <w:b/>
          <w:bCs/>
          <w:highlight w:val="green"/>
        </w:rPr>
        <w:t>reliability of the PCS will be assessed by computing Cronbach’s alpha (Cronbach, 1951).</w:t>
      </w:r>
    </w:p>
    <w:p w14:paraId="2F21E6CE" w14:textId="58BBB738" w:rsidR="00781C31" w:rsidRDefault="00000000">
      <w:pPr>
        <w:pStyle w:val="BodyText"/>
      </w:pPr>
      <w:r>
        <w:rPr>
          <w:b/>
          <w:bCs/>
        </w:rPr>
        <w:t>To assess whether the illusions functioned as expected, stimuli will be categorized into three groups</w:t>
      </w:r>
      <w:r w:rsidRPr="00214DDB">
        <w:rPr>
          <w:b/>
          <w:bCs/>
          <w:highlight w:val="green"/>
        </w:rPr>
        <w:t>: Strong Illusion Strength &amp; Incongruent, Mild Illusion Strength &amp; Incongruent, and Congruent.</w:t>
      </w:r>
      <w:r>
        <w:t xml:space="preserve"> </w:t>
      </w:r>
      <w:r w:rsidRPr="00CC3F22">
        <w:rPr>
          <w:b/>
          <w:bCs/>
          <w:highlight w:val="green"/>
        </w:rPr>
        <w:t xml:space="preserve">Two Bayesian t-tests will be conducted to assess differences in IES </w:t>
      </w:r>
      <w:ins w:id="18" w:author="Ana Neves" w:date="2025-05-01T12:21:00Z" w16du:dateUtc="2025-05-01T11:21:00Z">
        <w:r w:rsidR="006D680D">
          <w:rPr>
            <w:b/>
            <w:bCs/>
            <w:highlight w:val="green"/>
          </w:rPr>
          <w:t xml:space="preserve">and error </w:t>
        </w:r>
        <w:proofErr w:type="spellStart"/>
        <w:proofErr w:type="gramStart"/>
        <w:r w:rsidR="006D680D">
          <w:rPr>
            <w:b/>
            <w:bCs/>
            <w:highlight w:val="green"/>
          </w:rPr>
          <w:t>rate</w:t>
        </w:r>
      </w:ins>
      <w:r w:rsidRPr="00CC3F22">
        <w:rPr>
          <w:b/>
          <w:bCs/>
          <w:highlight w:val="green"/>
        </w:rPr>
        <w:t>between</w:t>
      </w:r>
      <w:proofErr w:type="spellEnd"/>
      <w:proofErr w:type="gramEnd"/>
      <w:r w:rsidRPr="00CC3F22">
        <w:rPr>
          <w:b/>
          <w:bCs/>
          <w:highlight w:val="green"/>
        </w:rPr>
        <w:t xml:space="preserve"> the Congruent and Mild conditions, and between the Mild and Strong conditions.</w:t>
      </w:r>
      <w:r>
        <w:t xml:space="preserve"> </w:t>
      </w:r>
      <w:r>
        <w:rPr>
          <w:b/>
          <w:bCs/>
        </w:rPr>
        <w:t>Significant differences in these comparisons will provide evidence that the illusions functioned as intended.</w:t>
      </w:r>
    </w:p>
    <w:p w14:paraId="42A03BF6" w14:textId="77777777" w:rsidR="00781C31" w:rsidRPr="00931F34" w:rsidRDefault="00000000">
      <w:pPr>
        <w:pStyle w:val="BodyText"/>
      </w:pPr>
      <w:r w:rsidRPr="004B7520">
        <w:rPr>
          <w:b/>
          <w:bCs/>
          <w:highlight w:val="green"/>
        </w:rPr>
        <w:t>The two outcome measures—</w:t>
      </w:r>
      <w:commentRangeStart w:id="19"/>
      <w:r w:rsidRPr="004B7520">
        <w:rPr>
          <w:b/>
          <w:bCs/>
          <w:highlight w:val="green"/>
        </w:rPr>
        <w:t xml:space="preserve">error rate </w:t>
      </w:r>
      <w:commentRangeEnd w:id="19"/>
      <w:r w:rsidR="009132FF">
        <w:rPr>
          <w:rStyle w:val="CommentReference"/>
        </w:rPr>
        <w:commentReference w:id="19"/>
      </w:r>
      <w:r w:rsidRPr="004B7520">
        <w:rPr>
          <w:b/>
          <w:bCs/>
          <w:highlight w:val="green"/>
        </w:rPr>
        <w:t>and IES—will be computed for each illusion and for each illusion strength group: Strong Illusion Strength &amp; Incongruent, Mild Illusion Strength &amp; Incongruent, and Congruent</w:t>
      </w:r>
      <w:r w:rsidRPr="004722D3">
        <w:rPr>
          <w:b/>
          <w:bCs/>
          <w:highlight w:val="yellow"/>
        </w:rPr>
        <w:t>.</w:t>
      </w:r>
      <w:r w:rsidRPr="004722D3">
        <w:rPr>
          <w:highlight w:val="yellow"/>
        </w:rPr>
        <w:t xml:space="preserve"> </w:t>
      </w:r>
      <w:commentRangeStart w:id="20"/>
      <w:commentRangeStart w:id="21"/>
      <w:r w:rsidRPr="004722D3">
        <w:rPr>
          <w:b/>
          <w:bCs/>
          <w:highlight w:val="yellow"/>
        </w:rPr>
        <w:t>Correlation will be computed between the mild and strong groups for each illusion and outcomes separately</w:t>
      </w:r>
      <w:commentRangeEnd w:id="20"/>
      <w:r w:rsidR="009132FF" w:rsidRPr="004722D3">
        <w:rPr>
          <w:rStyle w:val="CommentReference"/>
          <w:highlight w:val="yellow"/>
        </w:rPr>
        <w:commentReference w:id="20"/>
      </w:r>
      <w:r w:rsidRPr="00931F34">
        <w:rPr>
          <w:b/>
          <w:bCs/>
          <w:highlight w:val="yellow"/>
        </w:rPr>
        <w:t>.</w:t>
      </w:r>
      <w:r w:rsidRPr="00931F34">
        <w:rPr>
          <w:highlight w:val="yellow"/>
        </w:rPr>
        <w:t xml:space="preserve"> </w:t>
      </w:r>
      <w:commentRangeEnd w:id="21"/>
      <w:r w:rsidR="004722D3" w:rsidRPr="00931F34">
        <w:rPr>
          <w:rStyle w:val="CommentReference"/>
          <w:highlight w:val="yellow"/>
        </w:rPr>
        <w:commentReference w:id="21"/>
      </w:r>
      <w:r w:rsidRPr="00931F34">
        <w:rPr>
          <w:b/>
          <w:bCs/>
          <w:highlight w:val="yellow"/>
        </w:rPr>
        <w:t>If these correlations are high (</w:t>
      </w:r>
      <w:r w:rsidRPr="00931F34">
        <w:rPr>
          <w:b/>
          <w:bCs/>
          <w:i/>
          <w:iCs/>
          <w:highlight w:val="yellow"/>
        </w:rPr>
        <w:t>r</w:t>
      </w:r>
      <w:r w:rsidRPr="00931F34">
        <w:rPr>
          <w:b/>
          <w:bCs/>
          <w:highlight w:val="yellow"/>
        </w:rPr>
        <w:t xml:space="preserve"> &gt; .50, Cohen, 2013), the mild and strong illusion strength groups will be collapsed and the outcomes will be recomputed across all trials, otherwise they will be treated as separate in subsequent analyses.</w:t>
      </w:r>
    </w:p>
    <w:p w14:paraId="18291F04" w14:textId="77777777" w:rsidR="00781C31" w:rsidRDefault="00000000">
      <w:pPr>
        <w:pStyle w:val="BodyText"/>
      </w:pPr>
      <w:r>
        <w:rPr>
          <w:b/>
          <w:bCs/>
        </w:rPr>
        <w:t>Reliability analyses will then be conducted on all resulting indices.</w:t>
      </w:r>
      <w:r>
        <w:t xml:space="preserve"> </w:t>
      </w:r>
      <w:r w:rsidRPr="0046700B">
        <w:rPr>
          <w:b/>
          <w:bCs/>
          <w:highlight w:val="yellow"/>
        </w:rPr>
        <w:t>First, split-half reliability, to assess internal consistency, will be computed by correlating two equal subsets of individual scores, with high correlations expected (</w:t>
      </w:r>
      <w:r w:rsidRPr="0046700B">
        <w:rPr>
          <w:b/>
          <w:bCs/>
          <w:i/>
          <w:iCs/>
          <w:highlight w:val="yellow"/>
        </w:rPr>
        <w:t>r</w:t>
      </w:r>
      <w:r w:rsidRPr="0046700B">
        <w:rPr>
          <w:b/>
          <w:bCs/>
          <w:highlight w:val="yellow"/>
        </w:rPr>
        <w:t xml:space="preserve"> &gt; .5).</w:t>
      </w:r>
      <w:r w:rsidRPr="0046700B">
        <w:rPr>
          <w:highlight w:val="yellow"/>
        </w:rPr>
        <w:t xml:space="preserve"> </w:t>
      </w:r>
      <w:r w:rsidRPr="0046700B">
        <w:rPr>
          <w:b/>
          <w:bCs/>
          <w:highlight w:val="yellow"/>
        </w:rPr>
        <w:t>Second, inter-illusion reliability will be evaluated using Cronbach’s alpha across the three illusions.</w:t>
      </w:r>
    </w:p>
    <w:p w14:paraId="7C979D56" w14:textId="77777777" w:rsidR="00781C31" w:rsidRDefault="00000000">
      <w:pPr>
        <w:pStyle w:val="BodyText"/>
      </w:pPr>
      <w:r>
        <w:lastRenderedPageBreak/>
        <w:t xml:space="preserve">Illusion Game outliers will be flagged based on their RT distributions, following the same procedure as in (Makowski et al., 2023). </w:t>
      </w:r>
      <w:commentRangeStart w:id="22"/>
      <w:r w:rsidRPr="00211D08">
        <w:rPr>
          <w:b/>
          <w:bCs/>
          <w:highlight w:val="green"/>
        </w:rPr>
        <w:t>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In addition, the removal of individual trials will also be performed [RT &lt; 200 ms or &gt; 3 SD; following Thériault et al. (2024)]. </w:t>
      </w:r>
      <w:r>
        <w:rPr>
          <w:b/>
          <w:bCs/>
        </w:rPr>
        <w:t>To mitigate the risk of confounding effects driven by extreme speed or accuracy strategies, participants whose RTs are significantly slower than the group average (RT &gt; 4 SD above the mean, based on Makowski et al., 2023) will be excluded from the analysis.</w:t>
      </w:r>
      <w:commentRangeEnd w:id="22"/>
      <w:r w:rsidR="009132FF">
        <w:rPr>
          <w:rStyle w:val="CommentReference"/>
        </w:rPr>
        <w:commentReference w:id="22"/>
      </w:r>
    </w:p>
    <w:p w14:paraId="5F7BF7FB" w14:textId="77777777" w:rsidR="00781C31" w:rsidRDefault="00000000">
      <w:pPr>
        <w:pStyle w:val="BodyText"/>
      </w:pPr>
      <w:r w:rsidRPr="0046700B">
        <w:rPr>
          <w:highlight w:val="yellow"/>
        </w:rPr>
        <w:t>After removing problematic participants and trials, the outcome measures (PC and VI sensitivity scores)</w:t>
      </w:r>
      <w:r>
        <w:t xml:space="preserve"> will be computed and the Bayesian correlation (with medium prior on the coefficient, i.e., r-scale parameter set to 1/3) will be computed (using the </w:t>
      </w:r>
      <w:r>
        <w:rPr>
          <w:i/>
          <w:iCs/>
        </w:rPr>
        <w:t>BayesFactor</w:t>
      </w:r>
      <w:r>
        <w:t xml:space="preserve"> package, Morey &amp; Rouder, 2024). </w:t>
      </w:r>
      <w:r>
        <w:rPr>
          <w:b/>
          <w:bCs/>
        </w:rPr>
        <w:t>This shifted beta prior, as recommended by Morey and Rouder (2018), offers a balanced approach to estimating effect sizes, without placing undue weight on larger effect sizes or artificially inflating evidence for the null hypothesis.</w:t>
      </w:r>
      <w:r>
        <w:t xml:space="preserve"> Following Lush et al. (2022), we expect to collect evidence against (BF10 &lt;= 1/3) a relationship between PCS and VI sensitivity. </w:t>
      </w:r>
      <w:r>
        <w:rPr>
          <w:b/>
          <w:bCs/>
        </w:rPr>
        <w:t>Additionally, Bayesian correlations will be computed using the BayesFactor package, employing a medium prior on the coefficient (r-scale parameter set to 1/3) to assess relationships between maladaptive trait facets and illusion sensitivity scores.</w:t>
      </w:r>
      <w:r>
        <w:t xml:space="preserve"> </w:t>
      </w:r>
      <w:r>
        <w:rPr>
          <w:b/>
          <w:bCs/>
        </w:rPr>
        <w:t>Based on prior research (Makowski et al., 2023), we expect to find evidence (BF10 ≥ 3) supporting a relationship between the psychoticism facet of the PID-5 and illusion sensitivity.</w:t>
      </w:r>
      <w:r>
        <w:t xml:space="preserve"> Data analysis will be carried out using R, using </w:t>
      </w:r>
      <w:r>
        <w:rPr>
          <w:i/>
          <w:iCs/>
        </w:rPr>
        <w:t>tidyverse</w:t>
      </w:r>
      <w:r>
        <w:t xml:space="preserve"> (Wickham et al., 2019) and </w:t>
      </w:r>
      <w:r>
        <w:rPr>
          <w:i/>
          <w:iCs/>
        </w:rPr>
        <w:lastRenderedPageBreak/>
        <w:t>easystats</w:t>
      </w:r>
      <w:r>
        <w:t xml:space="preserve"> (Lüdecke et al., 2020, 2022; Makowski et al., 2019, 2022; Patil et al., 2022). The analysis script and additional information are available at </w:t>
      </w:r>
      <w:r>
        <w:rPr>
          <w:b/>
          <w:bCs/>
        </w:rPr>
        <w:t>https://osf.io/da3u6/?view_only=247d4efa1afe456aa07662732946d4e6</w:t>
      </w:r>
      <w:r>
        <w:t xml:space="preserve"> [Note this link will be replaced with the GitHub page of the current project upon completion of the review process to ensure continued anonymisation].</w:t>
      </w:r>
    </w:p>
    <w:p w14:paraId="31E54F3F" w14:textId="77777777" w:rsidR="00781C31" w:rsidRDefault="00000000">
      <w:pPr>
        <w:pStyle w:val="Heading1"/>
      </w:pPr>
      <w:bookmarkStart w:id="23" w:name="results"/>
      <w:bookmarkEnd w:id="6"/>
      <w:bookmarkEnd w:id="16"/>
      <w:r>
        <w:t>Results</w:t>
      </w:r>
    </w:p>
    <w:p w14:paraId="451DEF6A" w14:textId="77777777" w:rsidR="00781C31" w:rsidRDefault="00000000">
      <w:pPr>
        <w:pStyle w:val="FirstParagraph"/>
      </w:pPr>
      <w:r>
        <w:rPr>
          <w:i/>
          <w:iCs/>
        </w:rPr>
        <w:t>This section will be completed after data is collected.</w:t>
      </w:r>
    </w:p>
    <w:p w14:paraId="287692F2" w14:textId="77777777" w:rsidR="00781C31" w:rsidRDefault="00000000">
      <w:pPr>
        <w:pStyle w:val="Heading1"/>
      </w:pPr>
      <w:bookmarkStart w:id="24" w:name="discussion"/>
      <w:bookmarkEnd w:id="23"/>
      <w:r>
        <w:t>Discussion</w:t>
      </w:r>
    </w:p>
    <w:p w14:paraId="67F014CB" w14:textId="77777777" w:rsidR="00781C31" w:rsidRDefault="00000000">
      <w:pPr>
        <w:pStyle w:val="FirstParagraph"/>
      </w:pPr>
      <w:r>
        <w:rPr>
          <w:i/>
          <w:iCs/>
        </w:rPr>
        <w:t>This section will be completed after data is collected.</w:t>
      </w:r>
    </w:p>
    <w:p w14:paraId="005AA982" w14:textId="77777777" w:rsidR="00781C31" w:rsidRDefault="00000000">
      <w:pPr>
        <w:pStyle w:val="Heading1"/>
      </w:pPr>
      <w:bookmarkStart w:id="25" w:name="data-availability"/>
      <w:bookmarkEnd w:id="24"/>
      <w:r>
        <w:t>Data Availability</w:t>
      </w:r>
    </w:p>
    <w:p w14:paraId="31259A13" w14:textId="77777777" w:rsidR="00781C31" w:rsidRDefault="00000000">
      <w:pPr>
        <w:pStyle w:val="FirstParagraph"/>
      </w:pPr>
      <w:r>
        <w:t xml:space="preserve">All the study materials, experiment, data, and analysis is available on GitHub. [For the review process the pcs materials, the illusion game, and the analyses scripts can be accessed here: </w:t>
      </w:r>
      <w:r>
        <w:rPr>
          <w:b/>
          <w:bCs/>
        </w:rPr>
        <w:t>https://osf.io/da3u6/?view_only=247d4efa1afe456aa07662732946d4e6</w:t>
      </w:r>
      <w:r>
        <w:t>. Note this link will be replaced with the GitHub page of the current project upon completion of the review process to ensure continued anonymisation].</w:t>
      </w:r>
    </w:p>
    <w:p w14:paraId="0A948713" w14:textId="77777777" w:rsidR="00781C31" w:rsidRDefault="00000000">
      <w:pPr>
        <w:pStyle w:val="Heading1"/>
      </w:pPr>
      <w:bookmarkStart w:id="26" w:name="acknowledgments"/>
      <w:bookmarkEnd w:id="25"/>
      <w:r>
        <w:t>Acknowledgments</w:t>
      </w:r>
    </w:p>
    <w:p w14:paraId="7F0EA04B" w14:textId="77777777" w:rsidR="00781C31"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6F284685" w14:textId="77777777" w:rsidR="00781C31" w:rsidRDefault="00000000">
      <w:r>
        <w:br w:type="page"/>
      </w:r>
    </w:p>
    <w:p w14:paraId="77263E18" w14:textId="77777777" w:rsidR="00781C31" w:rsidRDefault="00000000">
      <w:pPr>
        <w:pStyle w:val="Heading1"/>
      </w:pPr>
      <w:bookmarkStart w:id="27" w:name="references"/>
      <w:bookmarkEnd w:id="26"/>
      <w:r>
        <w:lastRenderedPageBreak/>
        <w:t>References</w:t>
      </w:r>
    </w:p>
    <w:p w14:paraId="11292093" w14:textId="77777777" w:rsidR="00781C31" w:rsidRDefault="00000000">
      <w:pPr>
        <w:pStyle w:val="Bibliography"/>
      </w:pPr>
      <w:bookmarkStart w:id="28" w:name="ref-cohen2013statistical"/>
      <w:bookmarkStart w:id="29" w:name="refs"/>
      <w:r>
        <w:t xml:space="preserve">Cohen, J. (2013). </w:t>
      </w:r>
      <w:r>
        <w:rPr>
          <w:i/>
          <w:iCs/>
        </w:rPr>
        <w:t>Statistical power analysis for the behavioral sciences</w:t>
      </w:r>
      <w:r>
        <w:t>. routledge.</w:t>
      </w:r>
    </w:p>
    <w:p w14:paraId="71D352A2" w14:textId="77777777" w:rsidR="00781C31" w:rsidRDefault="00000000">
      <w:pPr>
        <w:pStyle w:val="Bibliography"/>
      </w:pPr>
      <w:bookmarkStart w:id="30" w:name="ref-costa2023"/>
      <w:bookmarkEnd w:id="28"/>
      <w:r w:rsidRPr="00214DDB">
        <w:rPr>
          <w:lang w:val="es-ES"/>
        </w:rPr>
        <w:t xml:space="preserve">Costa, A. L. L., Costa, D. L., Pessoa, V. F., </w:t>
      </w:r>
      <w:proofErr w:type="spellStart"/>
      <w:r w:rsidRPr="00214DDB">
        <w:rPr>
          <w:lang w:val="es-ES"/>
        </w:rPr>
        <w:t>Caixeta</w:t>
      </w:r>
      <w:proofErr w:type="spellEnd"/>
      <w:r w:rsidRPr="00214DDB">
        <w:rPr>
          <w:lang w:val="es-ES"/>
        </w:rPr>
        <w:t xml:space="preserve">, F. V., &amp; </w:t>
      </w:r>
      <w:proofErr w:type="spellStart"/>
      <w:r w:rsidRPr="00214DDB">
        <w:rPr>
          <w:lang w:val="es-ES"/>
        </w:rPr>
        <w:t>Maior</w:t>
      </w:r>
      <w:proofErr w:type="spellEnd"/>
      <w:r w:rsidRPr="00214DDB">
        <w:rPr>
          <w:lang w:val="es-ES"/>
        </w:rPr>
        <w:t xml:space="preserve">, R. S. (2023). </w:t>
      </w:r>
      <w:r>
        <w:t xml:space="preserve">Systematic review of visual illusions in schizophrenia. </w:t>
      </w:r>
      <w:r>
        <w:rPr>
          <w:i/>
          <w:iCs/>
        </w:rPr>
        <w:t>Schizophrenia Research</w:t>
      </w:r>
      <w:r>
        <w:t xml:space="preserve">, </w:t>
      </w:r>
      <w:r>
        <w:rPr>
          <w:i/>
          <w:iCs/>
        </w:rPr>
        <w:t>252</w:t>
      </w:r>
      <w:r>
        <w:t xml:space="preserve">, 13–22. </w:t>
      </w:r>
      <w:hyperlink r:id="rId14">
        <w:r w:rsidR="00781C31">
          <w:rPr>
            <w:rStyle w:val="Hyperlink"/>
          </w:rPr>
          <w:t>https://doi.org/10.1016/j.schres.2022.12.030</w:t>
        </w:r>
      </w:hyperlink>
    </w:p>
    <w:p w14:paraId="531609A3" w14:textId="77777777" w:rsidR="00781C31" w:rsidRDefault="00000000">
      <w:pPr>
        <w:pStyle w:val="Bibliography"/>
      </w:pPr>
      <w:bookmarkStart w:id="31" w:name="ref-cronbach1951coefficient"/>
      <w:bookmarkEnd w:id="30"/>
      <w:r>
        <w:t xml:space="preserve">Cronbach, L. J. (1951). Coefficient alpha and the internal structure of tests. </w:t>
      </w:r>
      <w:r>
        <w:rPr>
          <w:i/>
          <w:iCs/>
        </w:rPr>
        <w:t>Psychometrika</w:t>
      </w:r>
      <w:r>
        <w:t xml:space="preserve">, </w:t>
      </w:r>
      <w:r>
        <w:rPr>
          <w:i/>
          <w:iCs/>
        </w:rPr>
        <w:t>16</w:t>
      </w:r>
      <w:r>
        <w:t>(3), 297–334.</w:t>
      </w:r>
    </w:p>
    <w:p w14:paraId="0F7C8490" w14:textId="77777777" w:rsidR="00781C31" w:rsidRDefault="00000000">
      <w:pPr>
        <w:pStyle w:val="Bibliography"/>
      </w:pPr>
      <w:bookmarkStart w:id="32" w:name="ref-de2015jspsych"/>
      <w:bookmarkEnd w:id="31"/>
      <w:r>
        <w:t xml:space="preserve">De Leeuw, J. R. (2015). jsPsych: A JavaScript library for creating behavioral experiments in a web browser. </w:t>
      </w:r>
      <w:r>
        <w:rPr>
          <w:i/>
          <w:iCs/>
        </w:rPr>
        <w:t>Behavior Research Methods</w:t>
      </w:r>
      <w:r>
        <w:t xml:space="preserve">, </w:t>
      </w:r>
      <w:r>
        <w:rPr>
          <w:i/>
          <w:iCs/>
        </w:rPr>
        <w:t>47</w:t>
      </w:r>
      <w:r>
        <w:t>, 1–12.</w:t>
      </w:r>
    </w:p>
    <w:p w14:paraId="36F653B1" w14:textId="77777777" w:rsidR="00781C31" w:rsidRDefault="00000000">
      <w:pPr>
        <w:pStyle w:val="Bibliography"/>
      </w:pPr>
      <w:bookmarkStart w:id="33" w:name="ref-deleeuw2023"/>
      <w:bookmarkEnd w:id="32"/>
      <w:r>
        <w:t xml:space="preserve">De Leeuw, J. R. (2023). DataPipe: Born-open data collection for online experiments. </w:t>
      </w:r>
      <w:r>
        <w:rPr>
          <w:i/>
          <w:iCs/>
        </w:rPr>
        <w:t>Behavior Research Methods</w:t>
      </w:r>
      <w:r>
        <w:t xml:space="preserve">, </w:t>
      </w:r>
      <w:r>
        <w:rPr>
          <w:i/>
          <w:iCs/>
        </w:rPr>
        <w:t>56</w:t>
      </w:r>
      <w:r>
        <w:t xml:space="preserve">(3), 2499–2506. </w:t>
      </w:r>
      <w:hyperlink r:id="rId15">
        <w:r w:rsidR="00781C31">
          <w:rPr>
            <w:rStyle w:val="Hyperlink"/>
          </w:rPr>
          <w:t>https://doi.org/10.3758/s13428-023-02161-x</w:t>
        </w:r>
      </w:hyperlink>
    </w:p>
    <w:p w14:paraId="22F57CCD" w14:textId="77777777" w:rsidR="00781C31" w:rsidRDefault="00000000">
      <w:pPr>
        <w:pStyle w:val="Bibliography"/>
      </w:pPr>
      <w:bookmarkStart w:id="34" w:name="ref-dienes2022"/>
      <w:bookmarkEnd w:id="33"/>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6">
        <w:r w:rsidR="00781C31">
          <w:rPr>
            <w:rStyle w:val="Hyperlink"/>
          </w:rPr>
          <w:t>https://doi.org/10.1037/cns0000230</w:t>
        </w:r>
      </w:hyperlink>
    </w:p>
    <w:p w14:paraId="3EC19399" w14:textId="77777777" w:rsidR="00781C31" w:rsidRDefault="00000000">
      <w:pPr>
        <w:pStyle w:val="Bibliography"/>
      </w:pPr>
      <w:bookmarkStart w:id="35" w:name="ref-friston2010"/>
      <w:bookmarkEnd w:id="34"/>
      <w:r>
        <w:t xml:space="preserve">Friston, K. (2010). The free-energy principle: a unified brain theory? </w:t>
      </w:r>
      <w:r>
        <w:rPr>
          <w:i/>
          <w:iCs/>
        </w:rPr>
        <w:t>Nature Reviews Neuroscience</w:t>
      </w:r>
      <w:r>
        <w:t xml:space="preserve">, </w:t>
      </w:r>
      <w:r>
        <w:rPr>
          <w:i/>
          <w:iCs/>
        </w:rPr>
        <w:t>11</w:t>
      </w:r>
      <w:r>
        <w:t xml:space="preserve">(2), 127–138. </w:t>
      </w:r>
      <w:hyperlink r:id="rId17">
        <w:r w:rsidR="00781C31">
          <w:rPr>
            <w:rStyle w:val="Hyperlink"/>
          </w:rPr>
          <w:t>https://doi.org/10.1038/nrn2787</w:t>
        </w:r>
      </w:hyperlink>
    </w:p>
    <w:p w14:paraId="2348273B" w14:textId="77777777" w:rsidR="00781C31" w:rsidRPr="00214DDB" w:rsidRDefault="00000000">
      <w:pPr>
        <w:pStyle w:val="Bibliography"/>
        <w:rPr>
          <w:lang w:val="it-IT"/>
        </w:rPr>
      </w:pPr>
      <w:bookmarkStart w:id="36" w:name="ref-gershman2012"/>
      <w:bookmarkEnd w:id="35"/>
      <w:proofErr w:type="spellStart"/>
      <w:r w:rsidRPr="00414E2F">
        <w:rPr>
          <w:lang w:val="de-DE"/>
        </w:rPr>
        <w:t>Gershman</w:t>
      </w:r>
      <w:proofErr w:type="spellEnd"/>
      <w:r w:rsidRPr="00414E2F">
        <w:rPr>
          <w:lang w:val="de-DE"/>
        </w:rPr>
        <w:t xml:space="preserve">, S. J., </w:t>
      </w:r>
      <w:proofErr w:type="spellStart"/>
      <w:r w:rsidRPr="00414E2F">
        <w:rPr>
          <w:lang w:val="de-DE"/>
        </w:rPr>
        <w:t>Vul</w:t>
      </w:r>
      <w:proofErr w:type="spellEnd"/>
      <w:r w:rsidRPr="00414E2F">
        <w:rPr>
          <w:lang w:val="de-DE"/>
        </w:rPr>
        <w:t xml:space="preserve">, E., &amp; Tenenbaum, J. B. (2012). </w:t>
      </w:r>
      <w:proofErr w:type="spellStart"/>
      <w:r>
        <w:t>Multistability</w:t>
      </w:r>
      <w:proofErr w:type="spellEnd"/>
      <w:r>
        <w:t xml:space="preserve"> and Perceptual Inference. </w:t>
      </w:r>
      <w:r w:rsidRPr="00414E2F">
        <w:rPr>
          <w:i/>
          <w:iCs/>
          <w:lang w:val="en-GB"/>
        </w:rPr>
        <w:t>Neural Computation</w:t>
      </w:r>
      <w:r w:rsidRPr="00414E2F">
        <w:rPr>
          <w:lang w:val="en-GB"/>
        </w:rPr>
        <w:t xml:space="preserve">, </w:t>
      </w:r>
      <w:r w:rsidRPr="00414E2F">
        <w:rPr>
          <w:i/>
          <w:iCs/>
          <w:lang w:val="en-GB"/>
        </w:rPr>
        <w:t>24</w:t>
      </w:r>
      <w:r w:rsidRPr="00414E2F">
        <w:rPr>
          <w:lang w:val="en-GB"/>
        </w:rPr>
        <w:t xml:space="preserve">(1), 1–24. </w:t>
      </w:r>
      <w:hyperlink r:id="rId18">
        <w:r w:rsidR="00781C31" w:rsidRPr="00214DDB">
          <w:rPr>
            <w:rStyle w:val="Hyperlink"/>
            <w:lang w:val="it-IT"/>
          </w:rPr>
          <w:t>https://doi.org/10.1162/neco_a_00226</w:t>
        </w:r>
      </w:hyperlink>
    </w:p>
    <w:p w14:paraId="2215C353" w14:textId="77777777" w:rsidR="00781C31" w:rsidRDefault="00000000">
      <w:pPr>
        <w:pStyle w:val="Bibliography"/>
      </w:pPr>
      <w:bookmarkStart w:id="37" w:name="ref-gori2016"/>
      <w:bookmarkEnd w:id="36"/>
      <w:r w:rsidRPr="00214DDB">
        <w:rPr>
          <w:lang w:val="it-IT"/>
        </w:rPr>
        <w:t xml:space="preserve">Gori, S., Molteni, M., &amp; </w:t>
      </w:r>
      <w:proofErr w:type="spellStart"/>
      <w:r w:rsidRPr="00214DDB">
        <w:rPr>
          <w:lang w:val="it-IT"/>
        </w:rPr>
        <w:t>Facoetti</w:t>
      </w:r>
      <w:proofErr w:type="spellEnd"/>
      <w:r w:rsidRPr="00214DDB">
        <w:rPr>
          <w:lang w:val="it-IT"/>
        </w:rPr>
        <w:t xml:space="preserve">, A. (2016). </w:t>
      </w:r>
      <w:r>
        <w:t xml:space="preserve">Visual illusions: An interesting tool to investigate developmental dyslexia and autism spectrum disorder. </w:t>
      </w:r>
      <w:r>
        <w:rPr>
          <w:i/>
          <w:iCs/>
        </w:rPr>
        <w:t>Frontiers in Human Neuroscience</w:t>
      </w:r>
      <w:r>
        <w:t xml:space="preserve">, </w:t>
      </w:r>
      <w:r>
        <w:rPr>
          <w:i/>
          <w:iCs/>
        </w:rPr>
        <w:t>10</w:t>
      </w:r>
      <w:r>
        <w:t xml:space="preserve">. </w:t>
      </w:r>
      <w:hyperlink r:id="rId19">
        <w:r w:rsidR="00781C31">
          <w:rPr>
            <w:rStyle w:val="Hyperlink"/>
          </w:rPr>
          <w:t>https://doi.org/10.3389/fnhum.2016.00175</w:t>
        </w:r>
      </w:hyperlink>
    </w:p>
    <w:p w14:paraId="37F3062B" w14:textId="77777777" w:rsidR="00781C31" w:rsidRDefault="00000000">
      <w:pPr>
        <w:pStyle w:val="Bibliography"/>
      </w:pPr>
      <w:bookmarkStart w:id="38" w:name="ref-krueger2011"/>
      <w:bookmarkEnd w:id="37"/>
      <w:r>
        <w:t>Krueger, R. F., Eaton, N. R., Derringer, J., Markon, K. E., Watson, D., &amp; Skodol, A. E. (2011). Personality in</w:t>
      </w:r>
      <w:r>
        <w:rPr>
          <w:i/>
          <w:iCs/>
        </w:rPr>
        <w:t>DSM5:</w:t>
      </w:r>
      <w:r>
        <w:t xml:space="preserve">Helping Delineate Personality Disorder Content and Framing the </w:t>
      </w:r>
      <w:r>
        <w:lastRenderedPageBreak/>
        <w:t xml:space="preserve">Metastructure. </w:t>
      </w:r>
      <w:r>
        <w:rPr>
          <w:i/>
          <w:iCs/>
        </w:rPr>
        <w:t>Journal of Personality Assessment</w:t>
      </w:r>
      <w:r>
        <w:t xml:space="preserve">, </w:t>
      </w:r>
      <w:r>
        <w:rPr>
          <w:i/>
          <w:iCs/>
        </w:rPr>
        <w:t>93</w:t>
      </w:r>
      <w:r>
        <w:t xml:space="preserve">(4), 325–331. </w:t>
      </w:r>
      <w:hyperlink r:id="rId20">
        <w:r w:rsidR="00781C31">
          <w:rPr>
            <w:rStyle w:val="Hyperlink"/>
          </w:rPr>
          <w:t>https://doi.org/10.1080/00223891.2011.577478</w:t>
        </w:r>
      </w:hyperlink>
    </w:p>
    <w:p w14:paraId="01407040" w14:textId="77777777" w:rsidR="00781C31" w:rsidRDefault="00000000">
      <w:pPr>
        <w:pStyle w:val="Bibliography"/>
      </w:pPr>
      <w:bookmarkStart w:id="39" w:name="ref-parameters"/>
      <w:bookmarkEnd w:id="38"/>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21">
        <w:r w:rsidR="00781C31">
          <w:rPr>
            <w:rStyle w:val="Hyperlink"/>
          </w:rPr>
          <w:t>https://doi.org/10.21105/joss.02445</w:t>
        </w:r>
      </w:hyperlink>
    </w:p>
    <w:p w14:paraId="201EE573" w14:textId="77777777" w:rsidR="00781C31" w:rsidRDefault="00000000">
      <w:pPr>
        <w:pStyle w:val="Bibliography"/>
      </w:pPr>
      <w:bookmarkStart w:id="40" w:name="ref-easystats"/>
      <w:bookmarkEnd w:id="39"/>
      <w:r>
        <w:t xml:space="preserve">Lüdecke, D., Ben-Shachar, M. S., Patil, I., Wiernik, B. M., Bacher, E., Thériault, R., &amp; Makowski, D. (2022). </w:t>
      </w:r>
      <w:r>
        <w:rPr>
          <w:i/>
          <w:iCs/>
        </w:rPr>
        <w:t>Easystats: Framework for easy statistical modeling, visualization, and reporting</w:t>
      </w:r>
      <w:r>
        <w:t xml:space="preserve">. </w:t>
      </w:r>
      <w:hyperlink r:id="rId22">
        <w:r w:rsidR="00781C31">
          <w:rPr>
            <w:rStyle w:val="Hyperlink"/>
          </w:rPr>
          <w:t>https://easystats.github.io/easystats/</w:t>
        </w:r>
      </w:hyperlink>
    </w:p>
    <w:p w14:paraId="5C5527F8" w14:textId="77777777" w:rsidR="00781C31" w:rsidRDefault="00000000">
      <w:pPr>
        <w:pStyle w:val="Bibliography"/>
      </w:pPr>
      <w:bookmarkStart w:id="41" w:name="ref-lush2018"/>
      <w:bookmarkEnd w:id="40"/>
      <w:proofErr w:type="spellStart"/>
      <w:r w:rsidRPr="00214DDB">
        <w:rPr>
          <w:lang w:val="de-DE"/>
        </w:rPr>
        <w:t>Lush</w:t>
      </w:r>
      <w:proofErr w:type="spellEnd"/>
      <w:r w:rsidRPr="00214DDB">
        <w:rPr>
          <w:lang w:val="de-DE"/>
        </w:rPr>
        <w:t xml:space="preserve">, P., </w:t>
      </w:r>
      <w:proofErr w:type="spellStart"/>
      <w:r w:rsidRPr="00214DDB">
        <w:rPr>
          <w:lang w:val="de-DE"/>
        </w:rPr>
        <w:t>Moga</w:t>
      </w:r>
      <w:proofErr w:type="spellEnd"/>
      <w:r w:rsidRPr="00214DDB">
        <w:rPr>
          <w:lang w:val="de-DE"/>
        </w:rPr>
        <w:t xml:space="preserve">, G., </w:t>
      </w:r>
      <w:proofErr w:type="spellStart"/>
      <w:r w:rsidRPr="00214DDB">
        <w:rPr>
          <w:lang w:val="de-DE"/>
        </w:rPr>
        <w:t>McLatchie</w:t>
      </w:r>
      <w:proofErr w:type="spellEnd"/>
      <w:r w:rsidRPr="00214DDB">
        <w:rPr>
          <w:lang w:val="de-DE"/>
        </w:rPr>
        <w:t xml:space="preserve">, N., &amp; </w:t>
      </w:r>
      <w:proofErr w:type="spellStart"/>
      <w:r w:rsidRPr="00214DDB">
        <w:rPr>
          <w:lang w:val="de-DE"/>
        </w:rPr>
        <w:t>Dienes</w:t>
      </w:r>
      <w:proofErr w:type="spellEnd"/>
      <w:r w:rsidRPr="00214DDB">
        <w:rPr>
          <w:lang w:val="de-DE"/>
        </w:rPr>
        <w:t xml:space="preserve">, Z. (2018). </w:t>
      </w:r>
      <w:r>
        <w:t xml:space="preserve">The Sussex-Waterloo Scale of </w:t>
      </w:r>
      <w:proofErr w:type="spellStart"/>
      <w:r>
        <w:t>Hypnotizability</w:t>
      </w:r>
      <w:proofErr w:type="spellEnd"/>
      <w:r>
        <w:t xml:space="preserve"> (SWASH): measuring capacity for altering conscious experience. </w:t>
      </w:r>
      <w:r>
        <w:rPr>
          <w:i/>
          <w:iCs/>
        </w:rPr>
        <w:t>Neuroscience of Consciousness</w:t>
      </w:r>
      <w:r>
        <w:t xml:space="preserve">, </w:t>
      </w:r>
      <w:r>
        <w:rPr>
          <w:i/>
          <w:iCs/>
        </w:rPr>
        <w:t>2018</w:t>
      </w:r>
      <w:r>
        <w:t xml:space="preserve">(1). </w:t>
      </w:r>
      <w:hyperlink r:id="rId23">
        <w:r w:rsidR="00781C31">
          <w:rPr>
            <w:rStyle w:val="Hyperlink"/>
          </w:rPr>
          <w:t>https://doi.org/10.1093/nc/niy006</w:t>
        </w:r>
      </w:hyperlink>
    </w:p>
    <w:p w14:paraId="49EB4D77" w14:textId="77777777" w:rsidR="00781C31" w:rsidRDefault="00000000">
      <w:pPr>
        <w:pStyle w:val="Bibliography"/>
      </w:pPr>
      <w:bookmarkStart w:id="42" w:name="ref-lush2021"/>
      <w:bookmarkEnd w:id="41"/>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24">
        <w:r w:rsidR="00781C31">
          <w:rPr>
            <w:rStyle w:val="Hyperlink"/>
          </w:rPr>
          <w:t>https://doi.org/10.1525/collabra.29542</w:t>
        </w:r>
      </w:hyperlink>
    </w:p>
    <w:p w14:paraId="6307B3D5" w14:textId="77777777" w:rsidR="00781C31" w:rsidRDefault="00000000">
      <w:pPr>
        <w:pStyle w:val="Bibliography"/>
      </w:pPr>
      <w:bookmarkStart w:id="43" w:name="ref-lush2022"/>
      <w:bookmarkEnd w:id="42"/>
      <w:r>
        <w:t xml:space="preserve">Lush, P., Seth, A., Dienes, Z., &amp; Scott, R. B. (2022). </w:t>
      </w:r>
      <w:r>
        <w:rPr>
          <w:i/>
          <w:iCs/>
        </w:rPr>
        <w:t>Trait phenomenological control in top-down and bottom-up effects: ASMR, visually evoked auditory response and the müller-lyer illusion</w:t>
      </w:r>
      <w:r>
        <w:t xml:space="preserve">. </w:t>
      </w:r>
      <w:hyperlink r:id="rId25">
        <w:r w:rsidR="00781C31">
          <w:rPr>
            <w:rStyle w:val="Hyperlink"/>
          </w:rPr>
          <w:t>http://dx.doi.org/10.31234/osf.io/hw4y9</w:t>
        </w:r>
      </w:hyperlink>
    </w:p>
    <w:p w14:paraId="398AD7E8" w14:textId="77777777" w:rsidR="00781C31" w:rsidRDefault="00000000">
      <w:pPr>
        <w:pStyle w:val="Bibliography"/>
      </w:pPr>
      <w:bookmarkStart w:id="44" w:name="ref-bayestestR"/>
      <w:bookmarkEnd w:id="43"/>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6">
        <w:r w:rsidR="00781C31">
          <w:rPr>
            <w:rStyle w:val="Hyperlink"/>
          </w:rPr>
          <w:t>https://doi.org/10.21105/joss.01541</w:t>
        </w:r>
      </w:hyperlink>
    </w:p>
    <w:p w14:paraId="1E89BDD8" w14:textId="77777777" w:rsidR="00781C31" w:rsidRDefault="00000000">
      <w:pPr>
        <w:pStyle w:val="Bibliography"/>
      </w:pPr>
      <w:bookmarkStart w:id="45" w:name="ref-makowski2021"/>
      <w:bookmarkEnd w:id="44"/>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7">
        <w:r w:rsidR="00781C31">
          <w:rPr>
            <w:rStyle w:val="Hyperlink"/>
          </w:rPr>
          <w:t>https://doi.org/10.1177/03010066211057347</w:t>
        </w:r>
      </w:hyperlink>
    </w:p>
    <w:p w14:paraId="2544C3CA" w14:textId="77777777" w:rsidR="00781C31" w:rsidRDefault="00000000">
      <w:pPr>
        <w:pStyle w:val="Bibliography"/>
      </w:pPr>
      <w:bookmarkStart w:id="46" w:name="ref-makowski2023"/>
      <w:bookmarkEnd w:id="45"/>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8">
        <w:r w:rsidR="00781C31">
          <w:rPr>
            <w:rStyle w:val="Hyperlink"/>
          </w:rPr>
          <w:t>https://doi.org/10.1038/s41598-023-33148-5</w:t>
        </w:r>
      </w:hyperlink>
    </w:p>
    <w:p w14:paraId="5A17D853" w14:textId="77777777" w:rsidR="00781C31" w:rsidRPr="00214DDB" w:rsidRDefault="00000000">
      <w:pPr>
        <w:pStyle w:val="Bibliography"/>
        <w:rPr>
          <w:lang w:val="fr-FR"/>
        </w:rPr>
      </w:pPr>
      <w:bookmarkStart w:id="47" w:name="ref-correlation"/>
      <w:bookmarkEnd w:id="46"/>
      <w:r>
        <w:t xml:space="preserve">Makowski, D., Wiernik, B. M., Patil, I., Lüdecke, D., &amp; Ben-Shachar, M. S. (2022). </w:t>
      </w:r>
      <w:r>
        <w:rPr>
          <w:i/>
          <w:iCs/>
        </w:rPr>
        <w:t>Correlation: Methods for correlation analysis</w:t>
      </w:r>
      <w:r>
        <w:t xml:space="preserve">. </w:t>
      </w:r>
      <w:hyperlink r:id="rId29">
        <w:r w:rsidR="00781C31" w:rsidRPr="00214DDB">
          <w:rPr>
            <w:rStyle w:val="Hyperlink"/>
            <w:lang w:val="fr-FR"/>
          </w:rPr>
          <w:t>https://CRAN.R-project.org/package=correlation</w:t>
        </w:r>
      </w:hyperlink>
    </w:p>
    <w:p w14:paraId="5FD2CDFA" w14:textId="77777777" w:rsidR="00781C31" w:rsidRDefault="00000000">
      <w:pPr>
        <w:pStyle w:val="Bibliography"/>
      </w:pPr>
      <w:bookmarkStart w:id="48" w:name="ref-mitchell2010"/>
      <w:bookmarkEnd w:id="47"/>
      <w:r w:rsidRPr="00214DDB">
        <w:rPr>
          <w:lang w:val="fr-FR"/>
        </w:rPr>
        <w:t xml:space="preserve">Mitchell, P., </w:t>
      </w:r>
      <w:proofErr w:type="spellStart"/>
      <w:r w:rsidRPr="00214DDB">
        <w:rPr>
          <w:lang w:val="fr-FR"/>
        </w:rPr>
        <w:t>Mottron</w:t>
      </w:r>
      <w:proofErr w:type="spellEnd"/>
      <w:r w:rsidRPr="00214DDB">
        <w:rPr>
          <w:lang w:val="fr-FR"/>
        </w:rPr>
        <w:t xml:space="preserve">, L., Soulières, I., &amp; </w:t>
      </w:r>
      <w:proofErr w:type="spellStart"/>
      <w:r w:rsidRPr="00214DDB">
        <w:rPr>
          <w:lang w:val="fr-FR"/>
        </w:rPr>
        <w:t>Ropar</w:t>
      </w:r>
      <w:proofErr w:type="spellEnd"/>
      <w:r w:rsidRPr="00214DDB">
        <w:rPr>
          <w:lang w:val="fr-FR"/>
        </w:rPr>
        <w:t xml:space="preserve">, D. (2010). </w:t>
      </w:r>
      <w:r>
        <w:t xml:space="preserve">Susceptibility to the Shepard illusion in participants with autism: reduced top-down influences within perception? </w:t>
      </w:r>
      <w:r>
        <w:rPr>
          <w:i/>
          <w:iCs/>
        </w:rPr>
        <w:t>Autism Research</w:t>
      </w:r>
      <w:r>
        <w:t xml:space="preserve">, </w:t>
      </w:r>
      <w:r>
        <w:rPr>
          <w:i/>
          <w:iCs/>
        </w:rPr>
        <w:t>3</w:t>
      </w:r>
      <w:r>
        <w:t xml:space="preserve">(3), 113–119. </w:t>
      </w:r>
      <w:hyperlink r:id="rId30">
        <w:r w:rsidR="00781C31">
          <w:rPr>
            <w:rStyle w:val="Hyperlink"/>
          </w:rPr>
          <w:t>https://doi.org/10.1002/aur.130</w:t>
        </w:r>
      </w:hyperlink>
    </w:p>
    <w:p w14:paraId="3534EA41" w14:textId="77777777" w:rsidR="00781C31" w:rsidRDefault="00000000">
      <w:pPr>
        <w:pStyle w:val="Bibliography"/>
      </w:pPr>
      <w:bookmarkStart w:id="49" w:name="ref-morey2018baysefactor"/>
      <w:bookmarkEnd w:id="48"/>
      <w:r>
        <w:t xml:space="preserve">Morey, R. D., &amp; Rouder, J. N. (2018). </w:t>
      </w:r>
      <w:r>
        <w:rPr>
          <w:i/>
          <w:iCs/>
        </w:rPr>
        <w:t>BayseFactor: Computation of bayes factors for common designs</w:t>
      </w:r>
      <w:r>
        <w:t>.</w:t>
      </w:r>
    </w:p>
    <w:p w14:paraId="4A0B91CF" w14:textId="77777777" w:rsidR="00781C31" w:rsidRDefault="00000000">
      <w:pPr>
        <w:pStyle w:val="Bibliography"/>
      </w:pPr>
      <w:bookmarkStart w:id="50" w:name="ref-BayesFactor"/>
      <w:bookmarkEnd w:id="49"/>
      <w:r>
        <w:t xml:space="preserve">Morey, R. D., &amp; Rouder, J. N. (2024). </w:t>
      </w:r>
      <w:r>
        <w:rPr>
          <w:i/>
          <w:iCs/>
        </w:rPr>
        <w:t>BayesFactor: Computation of bayes factors for common designs</w:t>
      </w:r>
      <w:r>
        <w:t xml:space="preserve">. </w:t>
      </w:r>
      <w:hyperlink r:id="rId31">
        <w:r w:rsidR="00781C31">
          <w:rPr>
            <w:rStyle w:val="Hyperlink"/>
          </w:rPr>
          <w:t>https://CRAN.R-project.org/package=BayesFactor</w:t>
        </w:r>
      </w:hyperlink>
    </w:p>
    <w:p w14:paraId="38E59601" w14:textId="77777777" w:rsidR="00781C31" w:rsidRDefault="00000000">
      <w:pPr>
        <w:pStyle w:val="Bibliography"/>
      </w:pPr>
      <w:bookmarkStart w:id="51" w:name="ref-notredame2014"/>
      <w:bookmarkEnd w:id="50"/>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32">
        <w:r w:rsidR="00781C31">
          <w:rPr>
            <w:rStyle w:val="Hyperlink"/>
          </w:rPr>
          <w:t>https://doi.org/10.3389/fnint.2014.00063</w:t>
        </w:r>
      </w:hyperlink>
    </w:p>
    <w:p w14:paraId="5AB87C1A" w14:textId="77777777" w:rsidR="00781C31" w:rsidRDefault="00000000">
      <w:pPr>
        <w:pStyle w:val="Bibliography"/>
      </w:pPr>
      <w:bookmarkStart w:id="52" w:name="ref-nour2015perception"/>
      <w:bookmarkEnd w:id="51"/>
      <w:r>
        <w:t xml:space="preserve">Nour, M. M., &amp; Nour, J. M. (2015). Perception, illusions and bayesian inference. </w:t>
      </w:r>
      <w:r>
        <w:rPr>
          <w:i/>
          <w:iCs/>
        </w:rPr>
        <w:t>Psychopathology</w:t>
      </w:r>
      <w:r>
        <w:t xml:space="preserve">, </w:t>
      </w:r>
      <w:r>
        <w:rPr>
          <w:i/>
          <w:iCs/>
        </w:rPr>
        <w:t>48</w:t>
      </w:r>
      <w:r>
        <w:t>(4), 217–221.</w:t>
      </w:r>
    </w:p>
    <w:p w14:paraId="727DE62E" w14:textId="77777777" w:rsidR="00781C31" w:rsidRPr="00214DDB" w:rsidRDefault="00000000">
      <w:pPr>
        <w:pStyle w:val="Bibliography"/>
        <w:rPr>
          <w:lang w:val="de-DE"/>
        </w:rPr>
      </w:pPr>
      <w:bookmarkStart w:id="53" w:name="ref-palmer2017"/>
      <w:bookmarkEnd w:id="52"/>
      <w:r>
        <w:t xml:space="preserve">Palmer, C. J., Lawson, R. P., &amp; Hohwy, J. (2017). Bayesian approaches to autism: Towards volatility, action, and behavior. </w:t>
      </w:r>
      <w:r w:rsidRPr="00214DDB">
        <w:rPr>
          <w:i/>
          <w:iCs/>
          <w:lang w:val="de-DE"/>
        </w:rPr>
        <w:t>Psychological Bulletin</w:t>
      </w:r>
      <w:r w:rsidRPr="00214DDB">
        <w:rPr>
          <w:lang w:val="de-DE"/>
        </w:rPr>
        <w:t xml:space="preserve">, </w:t>
      </w:r>
      <w:r w:rsidRPr="00214DDB">
        <w:rPr>
          <w:i/>
          <w:iCs/>
          <w:lang w:val="de-DE"/>
        </w:rPr>
        <w:t>143</w:t>
      </w:r>
      <w:r w:rsidRPr="00214DDB">
        <w:rPr>
          <w:lang w:val="de-DE"/>
        </w:rPr>
        <w:t xml:space="preserve">(5), 521–542. </w:t>
      </w:r>
      <w:hyperlink r:id="rId33">
        <w:r w:rsidR="00781C31" w:rsidRPr="00214DDB">
          <w:rPr>
            <w:rStyle w:val="Hyperlink"/>
            <w:lang w:val="de-DE"/>
          </w:rPr>
          <w:t>https://doi.org/10.1037/bul0000097</w:t>
        </w:r>
      </w:hyperlink>
    </w:p>
    <w:p w14:paraId="62F472C3" w14:textId="77777777" w:rsidR="00781C31" w:rsidRDefault="00000000">
      <w:pPr>
        <w:pStyle w:val="Bibliography"/>
      </w:pPr>
      <w:bookmarkStart w:id="54" w:name="ref-datawizard"/>
      <w:bookmarkEnd w:id="53"/>
      <w:proofErr w:type="spellStart"/>
      <w:r w:rsidRPr="00214DDB">
        <w:rPr>
          <w:lang w:val="de-DE"/>
        </w:rPr>
        <w:t>Patil</w:t>
      </w:r>
      <w:proofErr w:type="spellEnd"/>
      <w:r w:rsidRPr="00214DDB">
        <w:rPr>
          <w:lang w:val="de-DE"/>
        </w:rPr>
        <w:t>, I., Makowski, D., Ben-</w:t>
      </w:r>
      <w:proofErr w:type="spellStart"/>
      <w:r w:rsidRPr="00214DDB">
        <w:rPr>
          <w:lang w:val="de-DE"/>
        </w:rPr>
        <w:t>Shachar</w:t>
      </w:r>
      <w:proofErr w:type="spellEnd"/>
      <w:r w:rsidRPr="00214DDB">
        <w:rPr>
          <w:lang w:val="de-DE"/>
        </w:rPr>
        <w:t xml:space="preserve">, M. S., </w:t>
      </w:r>
      <w:proofErr w:type="spellStart"/>
      <w:r w:rsidRPr="00214DDB">
        <w:rPr>
          <w:lang w:val="de-DE"/>
        </w:rPr>
        <w:t>Wiernik</w:t>
      </w:r>
      <w:proofErr w:type="spellEnd"/>
      <w:r w:rsidRPr="00214DDB">
        <w:rPr>
          <w:lang w:val="de-DE"/>
        </w:rPr>
        <w:t xml:space="preserve">, B. M., Bacher, E., &amp; Lüdecke, D. (2022). </w:t>
      </w:r>
      <w:proofErr w:type="spellStart"/>
      <w:r>
        <w:rPr>
          <w:i/>
          <w:iCs/>
        </w:rPr>
        <w:t>Datawizard</w:t>
      </w:r>
      <w:proofErr w:type="spellEnd"/>
      <w:r>
        <w:rPr>
          <w:i/>
          <w:iCs/>
        </w:rPr>
        <w:t>: An r package for easy data preparation and statistical transformations</w:t>
      </w:r>
      <w:r>
        <w:t xml:space="preserve">. </w:t>
      </w:r>
      <w:r>
        <w:rPr>
          <w:i/>
          <w:iCs/>
        </w:rPr>
        <w:t>7</w:t>
      </w:r>
      <w:r>
        <w:t xml:space="preserve">, 4684. </w:t>
      </w:r>
      <w:hyperlink r:id="rId34">
        <w:r w:rsidR="00781C31">
          <w:rPr>
            <w:rStyle w:val="Hyperlink"/>
          </w:rPr>
          <w:t>https://doi.org/10.21105/joss.04684</w:t>
        </w:r>
      </w:hyperlink>
    </w:p>
    <w:p w14:paraId="56E38D03" w14:textId="77777777" w:rsidR="00781C31" w:rsidRDefault="00000000">
      <w:pPr>
        <w:pStyle w:val="Bibliography"/>
      </w:pPr>
      <w:bookmarkStart w:id="55" w:name="ref-shoshina2014"/>
      <w:bookmarkEnd w:id="54"/>
      <w:r>
        <w:lastRenderedPageBreak/>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5">
        <w:r w:rsidR="00781C31">
          <w:rPr>
            <w:rStyle w:val="Hyperlink"/>
          </w:rPr>
          <w:t>https://doi.org/10.1007/s11055-014-9978-2</w:t>
        </w:r>
      </w:hyperlink>
    </w:p>
    <w:p w14:paraId="72A594B0" w14:textId="77777777" w:rsidR="00781C31" w:rsidRDefault="00000000">
      <w:pPr>
        <w:pStyle w:val="Bibliography"/>
      </w:pPr>
      <w:bookmarkStart w:id="56" w:name="ref-sibley2011mini"/>
      <w:bookmarkEnd w:id="55"/>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554613A8" w14:textId="77777777" w:rsidR="00781C31" w:rsidRDefault="00000000">
      <w:pPr>
        <w:pStyle w:val="Bibliography"/>
      </w:pPr>
      <w:bookmarkStart w:id="57" w:name="ref-sundareswara2008"/>
      <w:bookmarkEnd w:id="56"/>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6">
        <w:r w:rsidR="00781C31">
          <w:rPr>
            <w:rStyle w:val="Hyperlink"/>
          </w:rPr>
          <w:t>https://doi.org/10.1167/8.5.12</w:t>
        </w:r>
      </w:hyperlink>
    </w:p>
    <w:p w14:paraId="7C6CE746" w14:textId="77777777" w:rsidR="00781C31" w:rsidRDefault="00000000">
      <w:pPr>
        <w:pStyle w:val="Bibliography"/>
      </w:pPr>
      <w:bookmarkStart w:id="58" w:name="ref-theriault2024"/>
      <w:bookmarkEnd w:id="57"/>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7">
        <w:r w:rsidR="00781C31">
          <w:rPr>
            <w:rStyle w:val="Hyperlink"/>
          </w:rPr>
          <w:t>https://doi.org/10.3758/s13428-024-02356-w</w:t>
        </w:r>
      </w:hyperlink>
    </w:p>
    <w:p w14:paraId="78F16110" w14:textId="77777777" w:rsidR="00781C31" w:rsidRDefault="00000000">
      <w:pPr>
        <w:pStyle w:val="Bibliography"/>
      </w:pPr>
      <w:bookmarkStart w:id="59" w:name="ref-todorovic2020"/>
      <w:bookmarkEnd w:id="58"/>
      <w:r>
        <w:t xml:space="preserve">Todorović, D. (2020). What Are Visual Illusions? </w:t>
      </w:r>
      <w:r>
        <w:rPr>
          <w:i/>
          <w:iCs/>
        </w:rPr>
        <w:t>Perception</w:t>
      </w:r>
      <w:r>
        <w:t xml:space="preserve">, </w:t>
      </w:r>
      <w:r>
        <w:rPr>
          <w:i/>
          <w:iCs/>
        </w:rPr>
        <w:t>49</w:t>
      </w:r>
      <w:r>
        <w:t xml:space="preserve">(11), 1128–1199. </w:t>
      </w:r>
      <w:hyperlink r:id="rId38">
        <w:r w:rsidR="00781C31">
          <w:rPr>
            <w:rStyle w:val="Hyperlink"/>
          </w:rPr>
          <w:t>https://doi.org/10.1177/0301006620962279</w:t>
        </w:r>
      </w:hyperlink>
    </w:p>
    <w:p w14:paraId="5F258DBC" w14:textId="77777777" w:rsidR="00781C31" w:rsidRDefault="00000000">
      <w:pPr>
        <w:pStyle w:val="Bibliography"/>
      </w:pPr>
      <w:bookmarkStart w:id="60" w:name="ref-townsend2014methods"/>
      <w:bookmarkEnd w:id="59"/>
      <w:r>
        <w:t xml:space="preserve">Townsend, J. T., &amp; Ashby, F. G. (2014). Methods of modeling capacity in simple processing systems. In </w:t>
      </w:r>
      <w:r>
        <w:rPr>
          <w:i/>
          <w:iCs/>
        </w:rPr>
        <w:t>Cognitive theory</w:t>
      </w:r>
      <w:r>
        <w:t xml:space="preserve"> (pp. 199–239). Psychology Press.</w:t>
      </w:r>
    </w:p>
    <w:p w14:paraId="3EBB46EE" w14:textId="77777777" w:rsidR="00781C31" w:rsidRDefault="00000000">
      <w:pPr>
        <w:pStyle w:val="Bibliography"/>
      </w:pPr>
      <w:bookmarkStart w:id="61" w:name="ref-tidyverse"/>
      <w:bookmarkEnd w:id="60"/>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9">
        <w:r w:rsidR="00781C31">
          <w:rPr>
            <w:rStyle w:val="Hyperlink"/>
          </w:rPr>
          <w:t>https://doi.org/10.21105/joss.01686</w:t>
        </w:r>
      </w:hyperlink>
      <w:bookmarkEnd w:id="27"/>
      <w:bookmarkEnd w:id="29"/>
      <w:bookmarkEnd w:id="61"/>
    </w:p>
    <w:sectPr w:rsidR="00781C31">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Ana Neves" w:date="2025-04-28T18:15:00Z" w:initials="AN">
    <w:p w14:paraId="32272DB4" w14:textId="77777777" w:rsidR="009132FF" w:rsidRDefault="009132FF" w:rsidP="009132FF">
      <w:pPr>
        <w:pStyle w:val="CommentText"/>
      </w:pPr>
      <w:r>
        <w:rPr>
          <w:rStyle w:val="CommentReference"/>
        </w:rPr>
        <w:annotationRef/>
      </w:r>
      <w:r>
        <w:t xml:space="preserve">Re-organise paragraphs to follow more easily the analysis </w:t>
      </w:r>
    </w:p>
  </w:comment>
  <w:comment w:id="19" w:author="Ana Neves" w:date="2025-04-28T18:14:00Z" w:initials="AN">
    <w:p w14:paraId="67B30A0A" w14:textId="0CF91091" w:rsidR="009132FF" w:rsidRDefault="009132FF" w:rsidP="009132FF">
      <w:pPr>
        <w:pStyle w:val="CommentText"/>
      </w:pPr>
      <w:r>
        <w:rPr>
          <w:rStyle w:val="CommentReference"/>
        </w:rPr>
        <w:annotationRef/>
      </w:r>
      <w:r>
        <w:t>- do the analysis require to do error rate per block, per illusion and per illusion strength or just the latter two, outside of removing trials based on error rate per block</w:t>
      </w:r>
    </w:p>
  </w:comment>
  <w:comment w:id="20" w:author="Ana Neves" w:date="2025-04-28T18:14:00Z" w:initials="AN">
    <w:p w14:paraId="1C57E5FD" w14:textId="339985F9" w:rsidR="009132FF" w:rsidRDefault="009132FF" w:rsidP="009132FF">
      <w:pPr>
        <w:pStyle w:val="CommentText"/>
      </w:pPr>
      <w:r>
        <w:rPr>
          <w:rStyle w:val="CommentReference"/>
        </w:rPr>
        <w:annotationRef/>
      </w:r>
      <w:r>
        <w:rPr>
          <w:lang w:val="en-US"/>
        </w:rPr>
        <w:t>Change from Bayesian correlations to Pearson correlations on the script</w:t>
      </w:r>
    </w:p>
  </w:comment>
  <w:comment w:id="21" w:author="Ana Neves" w:date="2025-04-29T09:41:00Z" w:initials="AN">
    <w:p w14:paraId="1D162019" w14:textId="77777777" w:rsidR="004722D3" w:rsidRDefault="004722D3" w:rsidP="004722D3">
      <w:pPr>
        <w:pStyle w:val="CommentText"/>
      </w:pPr>
      <w:r>
        <w:rPr>
          <w:rStyle w:val="CommentReference"/>
        </w:rPr>
        <w:annotationRef/>
      </w:r>
      <w:r>
        <w:t xml:space="preserve">Done with correlationBF and describe posterior - do I add to the script that we are doing it with a medium prior? </w:t>
      </w:r>
    </w:p>
  </w:comment>
  <w:comment w:id="22" w:author="Ana Neves" w:date="2025-04-28T18:15:00Z" w:initials="AN">
    <w:p w14:paraId="728B7F57" w14:textId="59B35E32" w:rsidR="009132FF" w:rsidRDefault="009132FF" w:rsidP="009132FF">
      <w:pPr>
        <w:pStyle w:val="CommentText"/>
      </w:pPr>
      <w:r>
        <w:rPr>
          <w:rStyle w:val="CommentReference"/>
        </w:rPr>
        <w:annotationRef/>
      </w:r>
      <w:r>
        <w:t>Check with dom if this is all computed - cleaning.qmd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272DB4" w15:done="0"/>
  <w15:commentEx w15:paraId="67B30A0A" w15:done="1"/>
  <w15:commentEx w15:paraId="1C57E5FD" w15:done="0"/>
  <w15:commentEx w15:paraId="1D162019" w15:done="0"/>
  <w15:commentEx w15:paraId="728B7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B389EE" w16cex:dateUtc="2025-04-28T17:15:00Z"/>
  <w16cex:commentExtensible w16cex:durableId="487E9A14" w16cex:dateUtc="2025-04-28T17:14:00Z"/>
  <w16cex:commentExtensible w16cex:durableId="793D043E" w16cex:dateUtc="2025-04-28T17:14:00Z"/>
  <w16cex:commentExtensible w16cex:durableId="0BF2DA38" w16cex:dateUtc="2025-04-29T08:41:00Z"/>
  <w16cex:commentExtensible w16cex:durableId="39E258E1" w16cex:dateUtc="2025-04-28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272DB4" w16cid:durableId="76B389EE"/>
  <w16cid:commentId w16cid:paraId="67B30A0A" w16cid:durableId="487E9A14"/>
  <w16cid:commentId w16cid:paraId="1C57E5FD" w16cid:durableId="793D043E"/>
  <w16cid:commentId w16cid:paraId="1D162019" w16cid:durableId="0BF2DA38"/>
  <w16cid:commentId w16cid:paraId="728B7F57" w16cid:durableId="39E25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D97C7" w14:textId="77777777" w:rsidR="00F95DF3" w:rsidRDefault="00F95DF3">
      <w:pPr>
        <w:spacing w:line="240" w:lineRule="auto"/>
      </w:pPr>
      <w:r>
        <w:separator/>
      </w:r>
    </w:p>
  </w:endnote>
  <w:endnote w:type="continuationSeparator" w:id="0">
    <w:p w14:paraId="51B8048B" w14:textId="77777777" w:rsidR="00F95DF3" w:rsidRDefault="00F95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A8C71" w14:textId="77777777" w:rsidR="00F95DF3" w:rsidRDefault="00F95DF3">
      <w:pPr>
        <w:pStyle w:val="Footer"/>
      </w:pPr>
    </w:p>
    <w:p w14:paraId="1CDA8B1E" w14:textId="77777777" w:rsidR="00F95DF3" w:rsidRDefault="00F95DF3"/>
    <w:p w14:paraId="0717BCFE" w14:textId="77777777" w:rsidR="00F95DF3" w:rsidRDefault="00F95DF3">
      <w:pPr>
        <w:pStyle w:val="Header"/>
      </w:pPr>
    </w:p>
    <w:p w14:paraId="34BA0D81" w14:textId="77777777" w:rsidR="00F95DF3" w:rsidRDefault="00F95DF3"/>
    <w:p w14:paraId="60A4CE4D" w14:textId="77777777" w:rsidR="00F95DF3" w:rsidRDefault="00F95DF3">
      <w:pPr>
        <w:pStyle w:val="Footer"/>
      </w:pPr>
    </w:p>
    <w:p w14:paraId="2D8B41E8" w14:textId="77777777" w:rsidR="00F95DF3" w:rsidRDefault="00F95DF3"/>
    <w:p w14:paraId="526C2444" w14:textId="77777777" w:rsidR="00F95DF3" w:rsidRDefault="00F95DF3">
      <w:pPr>
        <w:pStyle w:val="Footer"/>
      </w:pPr>
    </w:p>
    <w:p w14:paraId="19B82D61" w14:textId="77777777" w:rsidR="00F95DF3" w:rsidRDefault="00F95DF3"/>
    <w:p w14:paraId="49B1B290" w14:textId="77777777" w:rsidR="00F95DF3" w:rsidRPr="000D23CF" w:rsidRDefault="00F95DF3"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411C0D5D" w14:textId="77777777" w:rsidR="00F95DF3" w:rsidRDefault="00F95DF3">
      <w:pPr>
        <w:pStyle w:val="Header"/>
      </w:pPr>
    </w:p>
    <w:p w14:paraId="6C397476" w14:textId="77777777" w:rsidR="00F95DF3" w:rsidRDefault="00F95DF3"/>
    <w:p w14:paraId="7335BE3D" w14:textId="77777777" w:rsidR="00F95DF3" w:rsidRDefault="00F95DF3">
      <w:pPr>
        <w:spacing w:line="240" w:lineRule="auto"/>
      </w:pPr>
      <w:r>
        <w:separator/>
      </w:r>
    </w:p>
  </w:footnote>
  <w:footnote w:type="continuationSeparator" w:id="0">
    <w:p w14:paraId="1BE5725A" w14:textId="77777777" w:rsidR="00F95DF3" w:rsidRDefault="00F95D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90D9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599355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35744"/>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1D08"/>
    <w:rsid w:val="00214DDB"/>
    <w:rsid w:val="00216260"/>
    <w:rsid w:val="002239CF"/>
    <w:rsid w:val="00225010"/>
    <w:rsid w:val="00233CE3"/>
    <w:rsid w:val="002432D4"/>
    <w:rsid w:val="00250BD5"/>
    <w:rsid w:val="00251EDB"/>
    <w:rsid w:val="00254B96"/>
    <w:rsid w:val="002723E0"/>
    <w:rsid w:val="0027518C"/>
    <w:rsid w:val="002A768D"/>
    <w:rsid w:val="002B1D3B"/>
    <w:rsid w:val="002B6632"/>
    <w:rsid w:val="002C3B74"/>
    <w:rsid w:val="002C5DF2"/>
    <w:rsid w:val="002E5064"/>
    <w:rsid w:val="0030567B"/>
    <w:rsid w:val="003141C0"/>
    <w:rsid w:val="003340D6"/>
    <w:rsid w:val="00340B9E"/>
    <w:rsid w:val="00387689"/>
    <w:rsid w:val="003B7C65"/>
    <w:rsid w:val="003D2E3A"/>
    <w:rsid w:val="003D73FF"/>
    <w:rsid w:val="004023D3"/>
    <w:rsid w:val="00414E2F"/>
    <w:rsid w:val="004544C0"/>
    <w:rsid w:val="00464B44"/>
    <w:rsid w:val="0046700B"/>
    <w:rsid w:val="00467A7C"/>
    <w:rsid w:val="004722D3"/>
    <w:rsid w:val="00496CB8"/>
    <w:rsid w:val="004B7520"/>
    <w:rsid w:val="004D17CF"/>
    <w:rsid w:val="004D5CEB"/>
    <w:rsid w:val="0051128C"/>
    <w:rsid w:val="005203E2"/>
    <w:rsid w:val="005566BA"/>
    <w:rsid w:val="00565B1E"/>
    <w:rsid w:val="005665F3"/>
    <w:rsid w:val="00586C23"/>
    <w:rsid w:val="00592D86"/>
    <w:rsid w:val="00602337"/>
    <w:rsid w:val="006122FA"/>
    <w:rsid w:val="00633291"/>
    <w:rsid w:val="00661B64"/>
    <w:rsid w:val="006A7CEE"/>
    <w:rsid w:val="006D3C7F"/>
    <w:rsid w:val="006D680D"/>
    <w:rsid w:val="00717963"/>
    <w:rsid w:val="00772034"/>
    <w:rsid w:val="00781C31"/>
    <w:rsid w:val="007868AB"/>
    <w:rsid w:val="007A0CA6"/>
    <w:rsid w:val="007A1B2A"/>
    <w:rsid w:val="007C4E27"/>
    <w:rsid w:val="007E2A5D"/>
    <w:rsid w:val="00801C81"/>
    <w:rsid w:val="0083560B"/>
    <w:rsid w:val="00852D8C"/>
    <w:rsid w:val="0086288E"/>
    <w:rsid w:val="009132FF"/>
    <w:rsid w:val="00931F34"/>
    <w:rsid w:val="00932B9C"/>
    <w:rsid w:val="00933D0C"/>
    <w:rsid w:val="009638C5"/>
    <w:rsid w:val="009B29FD"/>
    <w:rsid w:val="009B41AF"/>
    <w:rsid w:val="009E2E93"/>
    <w:rsid w:val="00A072AF"/>
    <w:rsid w:val="00A16B10"/>
    <w:rsid w:val="00A46245"/>
    <w:rsid w:val="00A82821"/>
    <w:rsid w:val="00A8368E"/>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07496"/>
    <w:rsid w:val="00C304F7"/>
    <w:rsid w:val="00C4693A"/>
    <w:rsid w:val="00C84525"/>
    <w:rsid w:val="00CA071F"/>
    <w:rsid w:val="00CB7758"/>
    <w:rsid w:val="00CC3F22"/>
    <w:rsid w:val="00CE01EB"/>
    <w:rsid w:val="00D11429"/>
    <w:rsid w:val="00D630B7"/>
    <w:rsid w:val="00D807FA"/>
    <w:rsid w:val="00D928EB"/>
    <w:rsid w:val="00DB4D47"/>
    <w:rsid w:val="00DE772F"/>
    <w:rsid w:val="00E401D3"/>
    <w:rsid w:val="00E401FC"/>
    <w:rsid w:val="00E528E7"/>
    <w:rsid w:val="00E71E11"/>
    <w:rsid w:val="00E868AE"/>
    <w:rsid w:val="00EA4191"/>
    <w:rsid w:val="00EA785F"/>
    <w:rsid w:val="00EE4B32"/>
    <w:rsid w:val="00F13DD4"/>
    <w:rsid w:val="00F3598F"/>
    <w:rsid w:val="00F774FD"/>
    <w:rsid w:val="00F77B86"/>
    <w:rsid w:val="00F87745"/>
    <w:rsid w:val="00F92DA2"/>
    <w:rsid w:val="00F95D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A198E"/>
  <w15:docId w15:val="{F6781A95-1ACA-40F7-89A3-4CDA0FA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214DDB"/>
  </w:style>
  <w:style w:type="character" w:styleId="CommentReference">
    <w:name w:val="annotation reference"/>
    <w:basedOn w:val="DefaultParagraphFont"/>
    <w:semiHidden/>
    <w:unhideWhenUsed/>
    <w:rsid w:val="009132FF"/>
    <w:rPr>
      <w:sz w:val="16"/>
      <w:szCs w:val="16"/>
    </w:rPr>
  </w:style>
  <w:style w:type="paragraph" w:styleId="CommentText">
    <w:name w:val="annotation text"/>
    <w:basedOn w:val="Normal"/>
    <w:link w:val="CommentTextChar"/>
    <w:unhideWhenUsed/>
    <w:rsid w:val="009132FF"/>
    <w:pPr>
      <w:spacing w:line="240" w:lineRule="auto"/>
    </w:pPr>
    <w:rPr>
      <w:sz w:val="20"/>
      <w:szCs w:val="20"/>
    </w:rPr>
  </w:style>
  <w:style w:type="character" w:customStyle="1" w:styleId="CommentTextChar">
    <w:name w:val="Comment Text Char"/>
    <w:basedOn w:val="DefaultParagraphFont"/>
    <w:link w:val="CommentText"/>
    <w:rsid w:val="009132FF"/>
    <w:rPr>
      <w:sz w:val="20"/>
      <w:szCs w:val="20"/>
    </w:rPr>
  </w:style>
  <w:style w:type="paragraph" w:styleId="CommentSubject">
    <w:name w:val="annotation subject"/>
    <w:basedOn w:val="CommentText"/>
    <w:next w:val="CommentText"/>
    <w:link w:val="CommentSubjectChar"/>
    <w:semiHidden/>
    <w:unhideWhenUsed/>
    <w:rsid w:val="009132FF"/>
    <w:rPr>
      <w:b/>
      <w:bCs/>
    </w:rPr>
  </w:style>
  <w:style w:type="character" w:customStyle="1" w:styleId="CommentSubjectChar">
    <w:name w:val="Comment Subject Char"/>
    <w:basedOn w:val="CommentTextChar"/>
    <w:link w:val="CommentSubject"/>
    <w:semiHidden/>
    <w:rsid w:val="009132FF"/>
    <w:rPr>
      <w:b/>
      <w:bCs/>
      <w:sz w:val="20"/>
      <w:szCs w:val="20"/>
    </w:rPr>
  </w:style>
  <w:style w:type="paragraph" w:styleId="Revision">
    <w:name w:val="Revision"/>
    <w:hidden/>
    <w:semiHidden/>
    <w:rsid w:val="00414E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162/neco_a_00226" TargetMode="External"/><Relationship Id="rId26" Type="http://schemas.openxmlformats.org/officeDocument/2006/relationships/hyperlink" Target="https://doi.org/10.21105/joss.01541" TargetMode="External"/><Relationship Id="rId39" Type="http://schemas.openxmlformats.org/officeDocument/2006/relationships/hyperlink" Target="https://doi.org/10.21105/joss.01686" TargetMode="External"/><Relationship Id="rId21" Type="http://schemas.openxmlformats.org/officeDocument/2006/relationships/hyperlink" Target="https://doi.org/10.21105/joss.02445" TargetMode="External"/><Relationship Id="rId34" Type="http://schemas.openxmlformats.org/officeDocument/2006/relationships/hyperlink" Target="https://doi.org/10.21105/joss.04684"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37/cns0000230" TargetMode="External"/><Relationship Id="rId20" Type="http://schemas.openxmlformats.org/officeDocument/2006/relationships/hyperlink" Target="https://doi.org/10.1080/00223891.2011.577478" TargetMode="External"/><Relationship Id="rId29" Type="http://schemas.openxmlformats.org/officeDocument/2006/relationships/hyperlink" Target="https://CRAN.R-project.org/package=correlation"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525/collabra.29542" TargetMode="External"/><Relationship Id="rId32" Type="http://schemas.openxmlformats.org/officeDocument/2006/relationships/hyperlink" Target="https://doi.org/10.3389/fnint.2014.00063" TargetMode="External"/><Relationship Id="rId37" Type="http://schemas.openxmlformats.org/officeDocument/2006/relationships/hyperlink" Target="https://doi.org/10.3758/s13428-024-02356-w"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758/s13428-023-02161-x" TargetMode="External"/><Relationship Id="rId23" Type="http://schemas.openxmlformats.org/officeDocument/2006/relationships/hyperlink" Target="https://doi.org/10.1093/nc/niy006" TargetMode="External"/><Relationship Id="rId28" Type="http://schemas.openxmlformats.org/officeDocument/2006/relationships/hyperlink" Target="https://doi.org/10.1038/s41598-023-33148-5" TargetMode="External"/><Relationship Id="rId36" Type="http://schemas.openxmlformats.org/officeDocument/2006/relationships/hyperlink" Target="https://doi.org/10.1167/8.5.12" TargetMode="External"/><Relationship Id="rId10" Type="http://schemas.openxmlformats.org/officeDocument/2006/relationships/comments" Target="comments.xml"/><Relationship Id="rId19" Type="http://schemas.openxmlformats.org/officeDocument/2006/relationships/hyperlink" Target="https://doi.org/10.3389/fnhum.2016.00175" TargetMode="External"/><Relationship Id="rId31" Type="http://schemas.openxmlformats.org/officeDocument/2006/relationships/hyperlink" Target="https://CRAN.R-project.org/package=BayesFacto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16/j.schres.2022.12.030" TargetMode="External"/><Relationship Id="rId22" Type="http://schemas.openxmlformats.org/officeDocument/2006/relationships/hyperlink" Target="https://easystats.github.io/easystats/" TargetMode="External"/><Relationship Id="rId27" Type="http://schemas.openxmlformats.org/officeDocument/2006/relationships/hyperlink" Target="https://doi.org/10.1177/03010066211057347" TargetMode="External"/><Relationship Id="rId30" Type="http://schemas.openxmlformats.org/officeDocument/2006/relationships/hyperlink" Target="https://doi.org/10.1002/aur.130" TargetMode="External"/><Relationship Id="rId35" Type="http://schemas.openxmlformats.org/officeDocument/2006/relationships/hyperlink" Target="https://doi.org/10.1007/s11055-014-9978-2" TargetMode="External"/><Relationship Id="rId8" Type="http://schemas.openxmlformats.org/officeDocument/2006/relationships/image" Target="media/image2.svg"/><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doi.org/10.1038/nrn2787" TargetMode="External"/><Relationship Id="rId25" Type="http://schemas.openxmlformats.org/officeDocument/2006/relationships/hyperlink" Target="http://dx.doi.org/10.31234/osf.io/hw4y9" TargetMode="External"/><Relationship Id="rId33" Type="http://schemas.openxmlformats.org/officeDocument/2006/relationships/hyperlink" Target="https://doi.org/10.1037/bul0000097" TargetMode="External"/><Relationship Id="rId38" Type="http://schemas.openxmlformats.org/officeDocument/2006/relationships/hyperlink" Target="https://doi.org/10.1177/0301006620962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5034</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7</cp:revision>
  <dcterms:created xsi:type="dcterms:W3CDTF">2025-04-24T11:01:00Z</dcterms:created>
  <dcterms:modified xsi:type="dcterms:W3CDTF">2025-05-01T12:00:00Z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