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4.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w:t>
      </w:r>
      <w:r>
        <w:t xml:space="preserve"> </w:t>
      </w:r>
      <w:r>
        <w:rPr>
          <w:b/>
          <w:bCs/>
        </w:rPr>
        <w:t xml:space="preserve">In particular, illusions have been reframed using a predictive coding account of perception</w:t>
      </w:r>
      <w:r>
        <w:rPr>
          <w:b/>
          <w:bCs/>
        </w:rPr>
        <w:t xml:space="preserve"> </w:t>
      </w:r>
      <w:r>
        <w:rPr>
          <w:b/>
          <w:bCs/>
        </w:rPr>
        <w:t xml:space="preserve">(Notredame et al., 2014)</w:t>
      </w:r>
      <w:r>
        <w:rPr>
          <w:b/>
          <w:bCs/>
        </w:rPr>
        <w:t xml:space="preserve"> </w:t>
      </w:r>
      <w:r>
        <w:rPr>
          <w:b/>
          <w:bCs/>
        </w:rPr>
        <w:t xml:space="preserve">in which the brain optimally combines, using some flavour of Bayesian inference, perceptual inputs with prior knowledge to make sense of ambiguous environments</w:t>
      </w:r>
      <w:r>
        <w:rPr>
          <w:b/>
          <w:bCs/>
        </w:rPr>
        <w:t xml:space="preserve"> </w:t>
      </w:r>
      <w:r>
        <w:rPr>
          <w:b/>
          <w:bCs/>
        </w:rPr>
        <w:t xml:space="preserve">(Friston, 2010)</w:t>
      </w:r>
      <w:r>
        <w:rPr>
          <w:b/>
          <w:bCs/>
        </w:rP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w:t>
      </w:r>
      <w:r>
        <w:t xml:space="preserve"> </w:t>
      </w:r>
      <w:r>
        <w:rPr>
          <w:b/>
          <w:bCs/>
        </w:rPr>
        <w:t xml:space="preserve">sensitivity</w:t>
      </w:r>
      <w:r>
        <w:t xml:space="preserve">.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w:t>
      </w:r>
      <w:r>
        <w:t xml:space="preserve"> </w:t>
      </w:r>
      <w:r>
        <w:rPr>
          <w:b/>
          <w:bCs/>
        </w:rPr>
        <w:t xml:space="preserve">This newly developed phenomenological control scale (PCS) consists of 10 imaginative suggestions followed by subjective ratings for each suggestion on a 6-point Likert scale (from 0-5) and has demonstrated validity in online experiments</w:t>
      </w:r>
      <w:r>
        <w:rPr>
          <w:b/>
          <w:bCs/>
        </w:rPr>
        <w:t xml:space="preserve"> </w:t>
      </w:r>
      <w:r>
        <w:rPr>
          <w:b/>
          <w:bCs/>
        </w:rPr>
        <w:t xml:space="preserve">(Lush et al., 2022)</w:t>
      </w:r>
      <w:r>
        <w:rPr>
          <w:b/>
          <w:bCs/>
        </w:rP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paradigm that encompasses other illusion types (see</w:t>
      </w:r>
      <w:r>
        <w:t xml:space="preserve"> </w:t>
      </w:r>
      <w:hyperlink w:anchor="tbl-table1">
        <w:r>
          <w:rPr>
            <w:rStyle w:val="Hyperlink"/>
          </w:rPr>
          <w:t xml:space="preserve">Table 1</w:t>
        </w:r>
      </w:hyperlink>
      <w:r>
        <w:t xml:space="preserve">).</w:t>
      </w:r>
    </w:p>
    <w:bookmarkStart w:id="30" w:name="tbl-table1"/>
    <w:p>
      <w:pPr>
        <w:pStyle w:val="FigureTitle"/>
      </w:pPr>
      <w:r>
        <w:t xml:space="preserve">Table 1</w:t>
      </w:r>
    </w:p>
    <w:p>
      <w:pPr>
        <w:pStyle w:val="Caption"/>
      </w:pPr>
      <w:r>
        <w:t xml:space="preserve">Study Design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Question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Is there a correlation between trait phenomenological control (PC) and visual illusion (VI) sensitivity?</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Hypothesis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Replicating findings from Lush et al., 2022 paper, we expect evidence of favour of an absence of relationship between VI and PCS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Sampling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goal is to recruit around 500 adult English speakers using Prolific. This sample size is based on the ones used in Lush et al., 2021 and Lush et al., 2022 that we aim at replicate.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Analysis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Bayesian correlations between the PC score and the VI performance for the 3 illusion types (corresponding to the error rate) will be computed using the *BayesFactor::BFCorrelation()* function (with the r-scale prior parameter set to ‘medium’)</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Rationale for Deciding the Sensitivity of the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Evidence against a relationship between PC and VI will be found if BF10 &lt;= 1/3, following the Lush et al., 2022 findings. BF10 &gt; 3 will be interpreted as evidence for a relationship between these two measures.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Interpretation Given Different Outcomes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hypothesis that VI sensitivity is independent from PC.</w:t>
            </w:r>
          </w:p>
        </w:tc>
      </w:tr>
      <w:tr>
        <w:trPr>
          <w:trHeight w:val="360"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Theory That Could Be Shown Wrong by the Outcomes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cognitive impenetrability of illusions, implying that the effect is driven by low-level processes and therefore not influenced by top-down mechanisms such as PC.</w:t>
            </w:r>
          </w:p>
        </w:tc>
      </w:tr>
    </w:tbl>
    <w:bookmarkEnd w:id="30"/>
    <w:bookmarkEnd w:id="31"/>
    <w:bookmarkStart w:id="42"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bookmarkEnd w:id="32"/>
    <w:bookmarkStart w:id="40"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 The online experiment, implemented entirely using JsPsych</w:t>
      </w:r>
      <w:r>
        <w:t xml:space="preserve"> </w:t>
      </w:r>
      <w:r>
        <w:t xml:space="preserve">(De Leeuw, 2015)</w:t>
      </w:r>
      <w:r>
        <w:t xml:space="preserve">, has its code stored on GitHub and will leverage the power of the platform to host the experiment for free. Participant’s raw data files (containing identifiers)</w:t>
      </w:r>
      <w:r>
        <w:t xml:space="preserve"> </w:t>
      </w:r>
      <w:r>
        <w:rPr>
          <w:b/>
          <w:bCs/>
        </w:rPr>
        <w:t xml:space="preserve">are</w:t>
      </w:r>
      <w:r>
        <w:t xml:space="preserve"> </w:t>
      </w:r>
      <w:r>
        <w:t xml:space="preserve">automatically stored in a private OSF repository. 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not directly analyzed in the current study, they will be used to provide to provide a detailed and thorough description of the sample and maximizing data reusability.</w:t>
      </w:r>
      <w:r>
        <w:t xml:space="preserve"> </w:t>
      </w:r>
      <w:r>
        <w:t xml:space="preserve">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w:t>
      </w:r>
      <w:r>
        <w:t xml:space="preserve"> </w:t>
      </w:r>
      <w:r>
        <w:rPr>
          <w:b/>
          <w:bCs/>
        </w:rPr>
        <w:t xml:space="preserve">Once the 10 suggestions are completed, participants will be asked to rate their subjective experiences and response to each suggestion on a 6-points Likert scale (from 0-5).</w:t>
      </w:r>
      <w:r>
        <w:t xml:space="preserve"> </w:t>
      </w:r>
      <w:r>
        <w:t xml:space="preserve">Phenomenological control will be indexed by averaging the scores from the 10 scales.</w:t>
      </w:r>
    </w:p>
    <w:bookmarkEnd w:id="33"/>
    <w:bookmarkStart w:id="39"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To mitigate for the potential variability in the speed/accuracy trade-off, the instructions emphasize with equal weight to be fast and to avoid errors.</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w:t>
      </w:r>
      <w:r>
        <w:t xml:space="preserve"> </w:t>
      </w:r>
      <w:r>
        <w:rPr>
          <w:b/>
          <w:bCs/>
        </w:rPr>
        <w:t xml:space="preserve">registered report</w:t>
      </w:r>
      <w:r>
        <w:t xml:space="preserve">.</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 These questionnaires are included as a way of providing a break between the two cognitively taxing blocks and maintain paradigmatic consistency with previous studies</w:t>
      </w:r>
      <w:r>
        <w:t xml:space="preserve"> </w:t>
      </w:r>
      <w:r>
        <w:t xml:space="preserve">(Makowski et al., 2023)</w:t>
      </w:r>
      <w:r>
        <w:t xml:space="preserve">.</w:t>
      </w:r>
    </w:p>
    <w:bookmarkStart w:id="37" w:name="tbl-figure1"/>
    <w:p>
      <w:pPr>
        <w:pStyle w:val="FigureWithoutNote"/>
      </w:pPr>
      <w:r>
        <w:t xml:space="preserve">Table 2</w:t>
      </w:r>
    </w:p>
    <w:p>
      <w:pPr>
        <w:pStyle w:val="FigureWithoutNote"/>
      </w:pPr>
      <w:r>
        <w:drawing>
          <wp:inline>
            <wp:extent cx="3810000" cy="2540000"/>
            <wp:effectExtent b="0" l="0" r="0" t="0"/>
            <wp:docPr descr="The parametric framework for visual illusions (Makowski et al., 2021) applied to the Müller-Lyer illusion (above). Below are examples of stimuli showcasing the manipulation of two parameters, task difficulty and illusion strength." title="" id="35" name="Picture"/>
            <a:graphic>
              <a:graphicData uri="http://schemas.openxmlformats.org/drawingml/2006/picture">
                <pic:pic>
                  <pic:nvPicPr>
                    <pic:cNvPr descr="img/example_stimuli.webp"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bookmarkEnd w:id="37"/>
    <w:p>
      <w:pPr>
        <w:pStyle w:val="AfterWithoutNote"/>
      </w:pPr>
      <w:r>
        <w:t xml:space="preserve"> </w:t>
      </w:r>
    </w:p>
    <w:bookmarkStart w:id="38" w:name="tbl-table3"/>
    <w:p>
      <w:pPr>
        <w:pStyle w:val="FigureTitle"/>
      </w:pPr>
      <w:r>
        <w:t xml:space="preserve">Table 3</w:t>
      </w:r>
    </w:p>
    <w:p>
      <w:pPr>
        <w:pStyle w:val="Caption"/>
      </w:pPr>
      <w:r>
        <w:t xml:space="preserve">Illusion Task Example Stimuli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Illusion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Task</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Ebbinghaus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6858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Ebbinghaus_Demo.png"/>
                          <a:srcRect/>
                          <a:stretch>
                            <a:fillRect/>
                          </a:stretch>
                        </pic:blipFill>
                        <pic:spPr bwMode="auto">
                          <a:xfrm>
                            <a:off x="0" y="0"/>
                            <a:ext cx="12700" cy="952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Which red circle is bigger?</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 cy="4572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answer_leftright_keyboard.png"/>
                          <a:srcRect/>
                          <a:stretch>
                            <a:fillRect/>
                          </a:stretch>
                        </pic:blipFill>
                        <pic:spPr bwMode="auto">
                          <a:xfrm>
                            <a:off x="0" y="0"/>
                            <a:ext cx="6350" cy="635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circles surrounded by other circles. The circle surrounded by smaller circles appears larger than the one with the larger surrounding circles.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Müller-Lyer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6858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MullerLyer_Demo.png"/>
                          <a:srcRect/>
                          <a:stretch>
                            <a:fillRect/>
                          </a:stretch>
                        </pic:blipFill>
                        <pic:spPr bwMode="auto">
                          <a:xfrm>
                            <a:off x="0" y="0"/>
                            <a:ext cx="12700" cy="952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Which red line is longer?</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 cy="4572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answer_updown_keyboard.png"/>
                          <a:srcRect/>
                          <a:stretch>
                            <a:fillRect/>
                          </a:stretch>
                        </pic:blipFill>
                        <pic:spPr bwMode="auto">
                          <a:xfrm>
                            <a:off x="0" y="0"/>
                            <a:ext cx="6350" cy="635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parallel segments that end with inwards/outwards pointing arrow-like fins. The segment with inward-pointing fins is typically perceived to be longer</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Vertical-Horizontal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6858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VerticalHorizontal_Demo.png"/>
                          <a:srcRect/>
                          <a:stretch>
                            <a:fillRect/>
                          </a:stretch>
                        </pic:blipFill>
                        <pic:spPr bwMode="auto">
                          <a:xfrm>
                            <a:off x="0" y="0"/>
                            <a:ext cx="12700" cy="952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Which red line is longer?</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 cy="4572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img/answer_leftright_keyboard.png"/>
                          <a:srcRect/>
                          <a:stretch>
                            <a:fillRect/>
                          </a:stretch>
                        </pic:blipFill>
                        <pic:spPr bwMode="auto">
                          <a:xfrm>
                            <a:off x="0" y="0"/>
                            <a:ext cx="6350" cy="635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lines segments, one horizontal and one angled. The angled line is usually perceived as longer.</w:t>
            </w:r>
          </w:p>
        </w:tc>
      </w:tr>
    </w:tbl>
    <w:bookmarkEnd w:id="38"/>
    <w:bookmarkEnd w:id="39"/>
    <w:bookmarkEnd w:id="40"/>
    <w:bookmarkStart w:id="41" w:name="data-analysis"/>
    <w:p>
      <w:pPr>
        <w:pStyle w:val="Heading2"/>
      </w:pPr>
      <w:r>
        <w:t xml:space="preserve">Data Analysis</w:t>
      </w:r>
    </w:p>
    <w:p>
      <w:pPr>
        <w:pStyle w:val="FirstParagraph"/>
      </w:pPr>
      <w:r>
        <w:t xml:space="preserve">The PCS will contain several manipulation check indices to identify problematic participants.</w:t>
      </w:r>
      <w:r>
        <w:t xml:space="preserve"> </w:t>
      </w:r>
      <w:r>
        <w:rPr>
          <w:b/>
          <w:bCs/>
        </w:rPr>
        <w:t xml:space="preserve">The phenomenological control task consists of various auditory and visual exercises. In one such exercise, participants receive the following instruction:</w:t>
      </w:r>
      <w:r>
        <w:rPr>
          <w:b/>
          <w:bCs/>
        </w:rPr>
        <w:t xml:space="preserve"> </w:t>
      </w:r>
      <w:r>
        <w:rPr>
          <w:b/>
          <w:bCs/>
        </w:rPr>
        <w:t xml:space="preserve">“</w:t>
      </w:r>
      <w:r>
        <w:rPr>
          <w:b/>
          <w:bCs/>
        </w:rPr>
        <w:t xml:space="preserve">Open your eyes. You will see only two balls on the screen…just two balls</w:t>
      </w:r>
      <w:r>
        <w:rPr>
          <w:b/>
          <w:bCs/>
        </w:rPr>
        <w:t xml:space="preserve">”</w:t>
      </w:r>
      <w:r>
        <w:rPr>
          <w:b/>
          <w:bCs/>
        </w:rPr>
        <w:t xml:space="preserve">. However, three differently coloured balls are actually displayed. If participants select the option</w:t>
      </w:r>
      <w:r>
        <w:rPr>
          <w:b/>
          <w:bCs/>
        </w:rPr>
        <w:t xml:space="preserve"> </w:t>
      </w:r>
      <w:r>
        <w:rPr>
          <w:b/>
          <w:bCs/>
        </w:rPr>
        <w:t xml:space="preserve">“</w:t>
      </w:r>
      <w:r>
        <w:rPr>
          <w:b/>
          <w:bCs/>
        </w:rPr>
        <w:t xml:space="preserve">no balls were shown</w:t>
      </w:r>
      <w:r>
        <w:rPr>
          <w:b/>
          <w:bCs/>
        </w:rPr>
        <w:t xml:space="preserve">”</w:t>
      </w:r>
      <w:r>
        <w:rPr>
          <w:b/>
          <w:bCs/>
        </w:rPr>
        <w:t xml:space="preserve">, it indicates they failed to pay attention to both the auditory instructions and the visual stimuli. In another exercise, participants are asked to press the spacebar six times. If they press it fewer than five times within the allotted time, it suggests a lack of attentiveness to the auditory instructions. Participants will be excluded if they fail at least one of these checks. Participants will be excluded if they fail at least one of the attention checks.</w:t>
      </w:r>
    </w:p>
    <w:p>
      <w:pPr>
        <w:pStyle w:val="BodyText"/>
      </w:pPr>
      <w:r>
        <w:t xml:space="preserve">Illusion Game outliers will be flagged based on their RT distributions, following the same procedure as in</w:t>
      </w:r>
      <w:r>
        <w:t xml:space="preserve"> </w:t>
      </w:r>
      <w:r>
        <w:t xml:space="preserve">(Makowski et al., 2023)</w:t>
      </w:r>
      <w:r>
        <w:t xml:space="preserve">.</w:t>
      </w:r>
      <w:r>
        <w:t xml:space="preserve"> </w:t>
      </w:r>
      <w:r>
        <w:rPr>
          <w:b/>
          <w:bCs/>
        </w:rPr>
        <w:t xml:space="preserve">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w:t>
      </w:r>
      <w:r>
        <w:t xml:space="preserve">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
          <w:iCs/>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
          <w:iCs/>
        </w:rPr>
        <w:t xml:space="preserve">https://github.com/RealityBending/IllusionGamePhenomenologicalControl</w:t>
      </w:r>
      <w:r>
        <w:t xml:space="preserve">.</w:t>
      </w:r>
    </w:p>
    <w:bookmarkEnd w:id="41"/>
    <w:bookmarkEnd w:id="42"/>
    <w:bookmarkStart w:id="43" w:name="results"/>
    <w:p>
      <w:pPr>
        <w:pStyle w:val="Heading1"/>
      </w:pPr>
      <w:r>
        <w:t xml:space="preserve">Results</w:t>
      </w:r>
    </w:p>
    <w:p>
      <w:pPr>
        <w:pStyle w:val="FirstParagraph"/>
      </w:pPr>
      <w:r>
        <w:rPr>
          <w:i/>
          <w:iCs/>
        </w:rPr>
        <w:t xml:space="preserve">This section will be completed after data is collected.</w:t>
      </w:r>
    </w:p>
    <w:bookmarkEnd w:id="43"/>
    <w:bookmarkStart w:id="44" w:name="discussion"/>
    <w:p>
      <w:pPr>
        <w:pStyle w:val="Heading1"/>
      </w:pPr>
      <w:r>
        <w:t xml:space="preserve">Discussion</w:t>
      </w:r>
    </w:p>
    <w:p>
      <w:pPr>
        <w:pStyle w:val="FirstParagraph"/>
      </w:pPr>
      <w:r>
        <w:rPr>
          <w:i/>
          <w:iCs/>
        </w:rPr>
        <w:t xml:space="preserve">This section will be completed after data is collected.</w:t>
      </w:r>
    </w:p>
    <w:bookmarkEnd w:id="44"/>
    <w:bookmarkStart w:id="45" w:name="data-availability"/>
    <w:p>
      <w:pPr>
        <w:pStyle w:val="Heading1"/>
      </w:pPr>
      <w:r>
        <w:t xml:space="preserve">Data Availability</w:t>
      </w:r>
    </w:p>
    <w:p>
      <w:pPr>
        <w:pStyle w:val="FirstParagraph"/>
      </w:pPr>
      <w:r>
        <w:t xml:space="preserve">All the study materials, experiment, data, and analysis is available on GitHub at https://github.com/RealityBending/IllusionGamePhenomenologicalControl</w:t>
      </w:r>
    </w:p>
    <w:bookmarkEnd w:id="45"/>
    <w:bookmarkStart w:id="46"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6"/>
    <w:bookmarkStart w:id="102" w:name="references"/>
    <w:p>
      <w:pPr>
        <w:pStyle w:val="Heading1"/>
      </w:pPr>
      <w:r>
        <w:t xml:space="preserve">References</w:t>
      </w:r>
    </w:p>
    <w:bookmarkStart w:id="101" w:name="refs"/>
    <w:bookmarkStart w:id="48"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7">
        <w:r>
          <w:rPr>
            <w:rStyle w:val="Hyperlink"/>
          </w:rPr>
          <w:t xml:space="preserve">https://doi.org/10.1016/j.schres.2022.12.030</w:t>
        </w:r>
      </w:hyperlink>
    </w:p>
    <w:bookmarkEnd w:id="48"/>
    <w:bookmarkStart w:id="49"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49"/>
    <w:bookmarkStart w:id="51"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50">
        <w:r>
          <w:rPr>
            <w:rStyle w:val="Hyperlink"/>
          </w:rPr>
          <w:t xml:space="preserve">https://doi.org/10.3758/s13428-023-02161-x</w:t>
        </w:r>
      </w:hyperlink>
    </w:p>
    <w:bookmarkEnd w:id="51"/>
    <w:bookmarkStart w:id="53"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52">
        <w:r>
          <w:rPr>
            <w:rStyle w:val="Hyperlink"/>
          </w:rPr>
          <w:t xml:space="preserve">https://doi.org/10.1037/cns0000230</w:t>
        </w:r>
      </w:hyperlink>
    </w:p>
    <w:bookmarkEnd w:id="53"/>
    <w:bookmarkStart w:id="55"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54">
        <w:r>
          <w:rPr>
            <w:rStyle w:val="Hyperlink"/>
          </w:rPr>
          <w:t xml:space="preserve">https://doi.org/10.1038/nrn2787</w:t>
        </w:r>
      </w:hyperlink>
    </w:p>
    <w:bookmarkEnd w:id="55"/>
    <w:bookmarkStart w:id="57"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6">
        <w:r>
          <w:rPr>
            <w:rStyle w:val="Hyperlink"/>
          </w:rPr>
          <w:t xml:space="preserve">https://doi.org/10.1162/neco_a_00226</w:t>
        </w:r>
      </w:hyperlink>
    </w:p>
    <w:bookmarkEnd w:id="57"/>
    <w:bookmarkStart w:id="59"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8">
        <w:r>
          <w:rPr>
            <w:rStyle w:val="Hyperlink"/>
          </w:rPr>
          <w:t xml:space="preserve">https://doi.org/10.3389/fnhum.2016.00175</w:t>
        </w:r>
      </w:hyperlink>
    </w:p>
    <w:bookmarkEnd w:id="59"/>
    <w:bookmarkStart w:id="61"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60">
        <w:r>
          <w:rPr>
            <w:rStyle w:val="Hyperlink"/>
          </w:rPr>
          <w:t xml:space="preserve">https://doi.org/10.1080/00223891.2011.577478</w:t>
        </w:r>
      </w:hyperlink>
    </w:p>
    <w:bookmarkEnd w:id="61"/>
    <w:bookmarkStart w:id="63"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62">
        <w:r>
          <w:rPr>
            <w:rStyle w:val="Hyperlink"/>
          </w:rPr>
          <w:t xml:space="preserve">https://doi.org/10.21105/joss.02445</w:t>
        </w:r>
      </w:hyperlink>
    </w:p>
    <w:bookmarkEnd w:id="63"/>
    <w:bookmarkStart w:id="65"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64">
        <w:r>
          <w:rPr>
            <w:rStyle w:val="Hyperlink"/>
          </w:rPr>
          <w:t xml:space="preserve">https://easystats.github.io/easystats/</w:t>
        </w:r>
      </w:hyperlink>
    </w:p>
    <w:bookmarkEnd w:id="65"/>
    <w:bookmarkStart w:id="67"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6">
        <w:r>
          <w:rPr>
            <w:rStyle w:val="Hyperlink"/>
          </w:rPr>
          <w:t xml:space="preserve">https://doi.org/10.1093/nc/niy006</w:t>
        </w:r>
      </w:hyperlink>
    </w:p>
    <w:bookmarkEnd w:id="67"/>
    <w:bookmarkStart w:id="69"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8">
        <w:r>
          <w:rPr>
            <w:rStyle w:val="Hyperlink"/>
          </w:rPr>
          <w:t xml:space="preserve">https://doi.org/10.1525/collabra.29542</w:t>
        </w:r>
      </w:hyperlink>
    </w:p>
    <w:bookmarkEnd w:id="69"/>
    <w:bookmarkStart w:id="71"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70">
        <w:r>
          <w:rPr>
            <w:rStyle w:val="Hyperlink"/>
          </w:rPr>
          <w:t xml:space="preserve">http://dx.doi.org/10.31234/osf.io/hw4y9</w:t>
        </w:r>
      </w:hyperlink>
    </w:p>
    <w:bookmarkEnd w:id="71"/>
    <w:bookmarkStart w:id="73"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72">
        <w:r>
          <w:rPr>
            <w:rStyle w:val="Hyperlink"/>
          </w:rPr>
          <w:t xml:space="preserve">https://doi.org/10.21105/joss.01541</w:t>
        </w:r>
      </w:hyperlink>
    </w:p>
    <w:bookmarkEnd w:id="73"/>
    <w:bookmarkStart w:id="75"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74">
        <w:r>
          <w:rPr>
            <w:rStyle w:val="Hyperlink"/>
          </w:rPr>
          <w:t xml:space="preserve">https://doi.org/10.1177/03010066211057347</w:t>
        </w:r>
      </w:hyperlink>
    </w:p>
    <w:bookmarkEnd w:id="75"/>
    <w:bookmarkStart w:id="77"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6">
        <w:r>
          <w:rPr>
            <w:rStyle w:val="Hyperlink"/>
          </w:rPr>
          <w:t xml:space="preserve">https://doi.org/10.1038/s41598-023-33148-5</w:t>
        </w:r>
      </w:hyperlink>
    </w:p>
    <w:bookmarkEnd w:id="77"/>
    <w:bookmarkStart w:id="79"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8">
        <w:r>
          <w:rPr>
            <w:rStyle w:val="Hyperlink"/>
          </w:rPr>
          <w:t xml:space="preserve">https://CRAN.R-project.org/package=correlation</w:t>
        </w:r>
      </w:hyperlink>
    </w:p>
    <w:bookmarkEnd w:id="79"/>
    <w:bookmarkStart w:id="81"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80">
        <w:r>
          <w:rPr>
            <w:rStyle w:val="Hyperlink"/>
          </w:rPr>
          <w:t xml:space="preserve">https://doi.org/10.1002/aur.130</w:t>
        </w:r>
      </w:hyperlink>
    </w:p>
    <w:bookmarkEnd w:id="81"/>
    <w:bookmarkStart w:id="83"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82">
        <w:r>
          <w:rPr>
            <w:rStyle w:val="Hyperlink"/>
          </w:rPr>
          <w:t xml:space="preserve">https://CRAN.R-project.org/package=BayesFactor</w:t>
        </w:r>
      </w:hyperlink>
    </w:p>
    <w:bookmarkEnd w:id="83"/>
    <w:bookmarkStart w:id="85"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84">
        <w:r>
          <w:rPr>
            <w:rStyle w:val="Hyperlink"/>
          </w:rPr>
          <w:t xml:space="preserve">https://doi.org/10.3389/fnint.2014.00063</w:t>
        </w:r>
      </w:hyperlink>
    </w:p>
    <w:bookmarkEnd w:id="85"/>
    <w:bookmarkStart w:id="87"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6">
        <w:r>
          <w:rPr>
            <w:rStyle w:val="Hyperlink"/>
          </w:rPr>
          <w:t xml:space="preserve">https://doi.org/10.1037/bul0000097</w:t>
        </w:r>
      </w:hyperlink>
    </w:p>
    <w:bookmarkEnd w:id="87"/>
    <w:bookmarkStart w:id="89"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88">
        <w:r>
          <w:rPr>
            <w:rStyle w:val="Hyperlink"/>
          </w:rPr>
          <w:t xml:space="preserve">https://doi.org/10.21105/joss.04684</w:t>
        </w:r>
      </w:hyperlink>
    </w:p>
    <w:bookmarkEnd w:id="89"/>
    <w:bookmarkStart w:id="91"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90">
        <w:r>
          <w:rPr>
            <w:rStyle w:val="Hyperlink"/>
          </w:rPr>
          <w:t xml:space="preserve">https://doi.org/10.1007/s11055-014-9978-2</w:t>
        </w:r>
      </w:hyperlink>
    </w:p>
    <w:bookmarkEnd w:id="91"/>
    <w:bookmarkStart w:id="92"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92"/>
    <w:bookmarkStart w:id="94"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93">
        <w:r>
          <w:rPr>
            <w:rStyle w:val="Hyperlink"/>
          </w:rPr>
          <w:t xml:space="preserve">https://doi.org/10.1167/8.5.12</w:t>
        </w:r>
      </w:hyperlink>
    </w:p>
    <w:bookmarkEnd w:id="94"/>
    <w:bookmarkStart w:id="96"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
          <w:iCs/>
        </w:rPr>
        <w:t xml:space="preserve">Behavior Research Methods</w:t>
      </w:r>
      <w:r>
        <w:t xml:space="preserve">.</w:t>
      </w:r>
      <w:r>
        <w:t xml:space="preserve"> </w:t>
      </w:r>
      <w:hyperlink r:id="rId95">
        <w:r>
          <w:rPr>
            <w:rStyle w:val="Hyperlink"/>
          </w:rPr>
          <w:t xml:space="preserve">https://doi.org/10.3758/s13428-024-02356-w</w:t>
        </w:r>
      </w:hyperlink>
    </w:p>
    <w:bookmarkEnd w:id="96"/>
    <w:bookmarkStart w:id="98"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97">
        <w:r>
          <w:rPr>
            <w:rStyle w:val="Hyperlink"/>
          </w:rPr>
          <w:t xml:space="preserve">https://doi.org/10.1177/0301006620962279</w:t>
        </w:r>
      </w:hyperlink>
    </w:p>
    <w:bookmarkEnd w:id="98"/>
    <w:bookmarkStart w:id="100"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99">
        <w:r>
          <w:rPr>
            <w:rStyle w:val="Hyperlink"/>
          </w:rPr>
          <w:t xml:space="preserve">https://doi.org/10.21105/joss.01686</w:t>
        </w:r>
      </w:hyperlink>
    </w:p>
    <w:bookmarkEnd w:id="100"/>
    <w:bookmarkEnd w:id="101"/>
    <w:sectPr>
      <w:lnNumType w:countBy="1" w:restart="continuous"/>
    </w:sectPr>
    <w:bookmarkEnd w:id="102"/>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4" Target="media/rId34.webp" /><Relationship Type="http://schemas.openxmlformats.org/officeDocument/2006/relationships/hyperlink" Id="rId70" Target="http://dx.doi.org/10.31234/osf.io/hw4y9" TargetMode="External" /><Relationship Type="http://schemas.openxmlformats.org/officeDocument/2006/relationships/hyperlink" Id="rId82" Target="https://CRAN.R-project.org/package=BayesFactor" TargetMode="External" /><Relationship Type="http://schemas.openxmlformats.org/officeDocument/2006/relationships/hyperlink" Id="rId78" Target="https://CRAN.R-project.org/package=correlation" TargetMode="External" /><Relationship Type="http://schemas.openxmlformats.org/officeDocument/2006/relationships/hyperlink" Id="rId80" Target="https://doi.org/10.1002/aur.130" TargetMode="External" /><Relationship Type="http://schemas.openxmlformats.org/officeDocument/2006/relationships/hyperlink" Id="rId90"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6" Target="https://doi.org/10.1037/bul0000097" TargetMode="External" /><Relationship Type="http://schemas.openxmlformats.org/officeDocument/2006/relationships/hyperlink" Id="rId52" Target="https://doi.org/10.1037/cns0000230" TargetMode="External" /><Relationship Type="http://schemas.openxmlformats.org/officeDocument/2006/relationships/hyperlink" Id="rId54" Target="https://doi.org/10.1038/nrn2787" TargetMode="External" /><Relationship Type="http://schemas.openxmlformats.org/officeDocument/2006/relationships/hyperlink" Id="rId76" Target="https://doi.org/10.1038/s41598-023-33148-5" TargetMode="External" /><Relationship Type="http://schemas.openxmlformats.org/officeDocument/2006/relationships/hyperlink" Id="rId60" Target="https://doi.org/10.1080/00223891.2011.577478" TargetMode="External" /><Relationship Type="http://schemas.openxmlformats.org/officeDocument/2006/relationships/hyperlink" Id="rId66" Target="https://doi.org/10.1093/nc/niy006" TargetMode="External" /><Relationship Type="http://schemas.openxmlformats.org/officeDocument/2006/relationships/hyperlink" Id="rId56" Target="https://doi.org/10.1162/neco_a_00226" TargetMode="External" /><Relationship Type="http://schemas.openxmlformats.org/officeDocument/2006/relationships/hyperlink" Id="rId93" Target="https://doi.org/10.1167/8.5.12" TargetMode="External" /><Relationship Type="http://schemas.openxmlformats.org/officeDocument/2006/relationships/hyperlink" Id="rId97" Target="https://doi.org/10.1177/0301006620962279" TargetMode="External" /><Relationship Type="http://schemas.openxmlformats.org/officeDocument/2006/relationships/hyperlink" Id="rId74" Target="https://doi.org/10.1177/03010066211057347" TargetMode="External" /><Relationship Type="http://schemas.openxmlformats.org/officeDocument/2006/relationships/hyperlink" Id="rId68" Target="https://doi.org/10.1525/collabra.29542" TargetMode="External" /><Relationship Type="http://schemas.openxmlformats.org/officeDocument/2006/relationships/hyperlink" Id="rId72" Target="https://doi.org/10.21105/joss.01541" TargetMode="External" /><Relationship Type="http://schemas.openxmlformats.org/officeDocument/2006/relationships/hyperlink" Id="rId99" Target="https://doi.org/10.21105/joss.01686" TargetMode="External" /><Relationship Type="http://schemas.openxmlformats.org/officeDocument/2006/relationships/hyperlink" Id="rId62" Target="https://doi.org/10.21105/joss.02445" TargetMode="External" /><Relationship Type="http://schemas.openxmlformats.org/officeDocument/2006/relationships/hyperlink" Id="rId88" Target="https://doi.org/10.21105/joss.04684" TargetMode="External" /><Relationship Type="http://schemas.openxmlformats.org/officeDocument/2006/relationships/hyperlink" Id="rId58" Target="https://doi.org/10.3389/fnhum.2016.00175" TargetMode="External" /><Relationship Type="http://schemas.openxmlformats.org/officeDocument/2006/relationships/hyperlink" Id="rId84" Target="https://doi.org/10.3389/fnint.2014.00063" TargetMode="External" /><Relationship Type="http://schemas.openxmlformats.org/officeDocument/2006/relationships/hyperlink" Id="rId50" Target="https://doi.org/10.3758/s13428-023-02161-x" TargetMode="External" /><Relationship Type="http://schemas.openxmlformats.org/officeDocument/2006/relationships/hyperlink" Id="rId95" Target="https://doi.org/10.3758/s13428-024-02356-w" TargetMode="External" /><Relationship Type="http://schemas.openxmlformats.org/officeDocument/2006/relationships/hyperlink" Id="rId64"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31234/osf.io/hw4y9" TargetMode="External" /><Relationship Type="http://schemas.openxmlformats.org/officeDocument/2006/relationships/hyperlink" Id="rId82" Target="https://CRAN.R-project.org/package=BayesFactor" TargetMode="External" /><Relationship Type="http://schemas.openxmlformats.org/officeDocument/2006/relationships/hyperlink" Id="rId78" Target="https://CRAN.R-project.org/package=correlation" TargetMode="External" /><Relationship Type="http://schemas.openxmlformats.org/officeDocument/2006/relationships/hyperlink" Id="rId80" Target="https://doi.org/10.1002/aur.130" TargetMode="External" /><Relationship Type="http://schemas.openxmlformats.org/officeDocument/2006/relationships/hyperlink" Id="rId90"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6" Target="https://doi.org/10.1037/bul0000097" TargetMode="External" /><Relationship Type="http://schemas.openxmlformats.org/officeDocument/2006/relationships/hyperlink" Id="rId52" Target="https://doi.org/10.1037/cns0000230" TargetMode="External" /><Relationship Type="http://schemas.openxmlformats.org/officeDocument/2006/relationships/hyperlink" Id="rId54" Target="https://doi.org/10.1038/nrn2787" TargetMode="External" /><Relationship Type="http://schemas.openxmlformats.org/officeDocument/2006/relationships/hyperlink" Id="rId76" Target="https://doi.org/10.1038/s41598-023-33148-5" TargetMode="External" /><Relationship Type="http://schemas.openxmlformats.org/officeDocument/2006/relationships/hyperlink" Id="rId60" Target="https://doi.org/10.1080/00223891.2011.577478" TargetMode="External" /><Relationship Type="http://schemas.openxmlformats.org/officeDocument/2006/relationships/hyperlink" Id="rId66" Target="https://doi.org/10.1093/nc/niy006" TargetMode="External" /><Relationship Type="http://schemas.openxmlformats.org/officeDocument/2006/relationships/hyperlink" Id="rId56" Target="https://doi.org/10.1162/neco_a_00226" TargetMode="External" /><Relationship Type="http://schemas.openxmlformats.org/officeDocument/2006/relationships/hyperlink" Id="rId93" Target="https://doi.org/10.1167/8.5.12" TargetMode="External" /><Relationship Type="http://schemas.openxmlformats.org/officeDocument/2006/relationships/hyperlink" Id="rId97" Target="https://doi.org/10.1177/0301006620962279" TargetMode="External" /><Relationship Type="http://schemas.openxmlformats.org/officeDocument/2006/relationships/hyperlink" Id="rId74" Target="https://doi.org/10.1177/03010066211057347" TargetMode="External" /><Relationship Type="http://schemas.openxmlformats.org/officeDocument/2006/relationships/hyperlink" Id="rId68" Target="https://doi.org/10.1525/collabra.29542" TargetMode="External" /><Relationship Type="http://schemas.openxmlformats.org/officeDocument/2006/relationships/hyperlink" Id="rId72" Target="https://doi.org/10.21105/joss.01541" TargetMode="External" /><Relationship Type="http://schemas.openxmlformats.org/officeDocument/2006/relationships/hyperlink" Id="rId99" Target="https://doi.org/10.21105/joss.01686" TargetMode="External" /><Relationship Type="http://schemas.openxmlformats.org/officeDocument/2006/relationships/hyperlink" Id="rId62" Target="https://doi.org/10.21105/joss.02445" TargetMode="External" /><Relationship Type="http://schemas.openxmlformats.org/officeDocument/2006/relationships/hyperlink" Id="rId88" Target="https://doi.org/10.21105/joss.04684" TargetMode="External" /><Relationship Type="http://schemas.openxmlformats.org/officeDocument/2006/relationships/hyperlink" Id="rId58" Target="https://doi.org/10.3389/fnhum.2016.00175" TargetMode="External" /><Relationship Type="http://schemas.openxmlformats.org/officeDocument/2006/relationships/hyperlink" Id="rId84" Target="https://doi.org/10.3389/fnint.2014.00063" TargetMode="External" /><Relationship Type="http://schemas.openxmlformats.org/officeDocument/2006/relationships/hyperlink" Id="rId50" Target="https://doi.org/10.3758/s13428-023-02161-x" TargetMode="External" /><Relationship Type="http://schemas.openxmlformats.org/officeDocument/2006/relationships/hyperlink" Id="rId95" Target="https://doi.org/10.3758/s13428-024-02356-w" TargetMode="External" /><Relationship Type="http://schemas.openxmlformats.org/officeDocument/2006/relationships/hyperlink" Id="rId64"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2025-03-04T11:49:46Z</dcterms:created>
  <dcterms:modified xsi:type="dcterms:W3CDTF">2025-03-04T11:49:46Z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