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3E6E4" w14:textId="77777777" w:rsidR="00B960FE" w:rsidRDefault="00000000">
      <w:pPr>
        <w:pStyle w:val="FirstParagraph"/>
      </w:pPr>
      <w:r>
        <w:t xml:space="preserve"> </w:t>
      </w:r>
    </w:p>
    <w:p w14:paraId="13F3E6E5" w14:textId="77777777" w:rsidR="00B960FE" w:rsidRDefault="00000000">
      <w:pPr>
        <w:pStyle w:val="BodyText"/>
      </w:pPr>
      <w:r>
        <w:t xml:space="preserve"> </w:t>
      </w:r>
    </w:p>
    <w:p w14:paraId="13F3E6E6" w14:textId="77777777" w:rsidR="00B960FE" w:rsidRDefault="00000000">
      <w:pPr>
        <w:pStyle w:val="Heading1"/>
      </w:pPr>
      <w:bookmarkStart w:id="0" w:name="title"/>
      <w:r>
        <w:t>Is Phenomenological Control related to Illusion Sensitivity</w:t>
      </w:r>
    </w:p>
    <w:p w14:paraId="13F3E6E7" w14:textId="77777777" w:rsidR="00B960FE" w:rsidRDefault="00000000">
      <w:pPr>
        <w:pStyle w:val="Author"/>
      </w:pPr>
      <w:r>
        <w:t xml:space="preserve"> </w:t>
      </w:r>
    </w:p>
    <w:p w14:paraId="13F3E6E8" w14:textId="77777777" w:rsidR="00B960FE" w:rsidRDefault="00000000">
      <w:pPr>
        <w:pStyle w:val="Author"/>
      </w:pPr>
      <w:r>
        <w:t>Dominique Makowski, Ana Neves, and Zoltan Dienes</w:t>
      </w:r>
    </w:p>
    <w:p w14:paraId="13F3E6E9" w14:textId="77777777" w:rsidR="00B960FE" w:rsidRDefault="00000000">
      <w:pPr>
        <w:pStyle w:val="Author"/>
      </w:pPr>
      <w:r>
        <w:t>School of Psychology, University of Sussex</w:t>
      </w:r>
    </w:p>
    <w:p w14:paraId="13F3E6EA" w14:textId="77777777" w:rsidR="00B960FE" w:rsidRDefault="00000000">
      <w:pPr>
        <w:pStyle w:val="BodyText"/>
      </w:pPr>
      <w:r>
        <w:t xml:space="preserve"> </w:t>
      </w:r>
    </w:p>
    <w:p w14:paraId="13F3E6EB" w14:textId="77777777" w:rsidR="00B960FE" w:rsidRDefault="00000000">
      <w:pPr>
        <w:pStyle w:val="BodyText"/>
      </w:pPr>
      <w:r>
        <w:t xml:space="preserve"> </w:t>
      </w:r>
    </w:p>
    <w:p w14:paraId="13F3E6EC" w14:textId="77777777" w:rsidR="00B960FE" w:rsidRDefault="00000000">
      <w:pPr>
        <w:pStyle w:val="Heading1"/>
      </w:pPr>
      <w:bookmarkStart w:id="1" w:name="author-note"/>
      <w:bookmarkEnd w:id="0"/>
      <w:r>
        <w:t>Author Note</w:t>
      </w:r>
    </w:p>
    <w:p w14:paraId="13F3E6ED" w14:textId="77777777" w:rsidR="00B960FE" w:rsidRDefault="00000000">
      <w:pPr>
        <w:pStyle w:val="FirstParagraph"/>
      </w:pPr>
      <w:r>
        <w:t xml:space="preserve">Dominique Makowski </w:t>
      </w:r>
      <w:r>
        <w:rPr>
          <w:noProof/>
        </w:rPr>
        <w:drawing>
          <wp:inline distT="0" distB="0" distL="0" distR="0" wp14:anchorId="13F3E72D" wp14:editId="13F3E72E">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13F3E6EE" w14:textId="77777777" w:rsidR="00B960FE" w:rsidRDefault="00000000">
      <w:pPr>
        <w:pStyle w:val="BodyText"/>
      </w:pPr>
      <w:r>
        <w:t xml:space="preserve">Ana Neves </w:t>
      </w:r>
      <w:r>
        <w:rPr>
          <w:noProof/>
        </w:rPr>
        <w:drawing>
          <wp:inline distT="0" distB="0" distL="0" distR="0" wp14:anchorId="13F3E72F" wp14:editId="13F3E730">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http://orcid.org/0009-0006-0020-7599</w:t>
      </w:r>
    </w:p>
    <w:p w14:paraId="13F3E6EF" w14:textId="77777777" w:rsidR="00B960FE" w:rsidRDefault="00000000">
      <w:pPr>
        <w:pStyle w:val="BodyText"/>
      </w:pPr>
      <w:r>
        <w:t xml:space="preserve">Zoltan Dienes </w:t>
      </w:r>
      <w:bookmarkStart w:id="2" w:name="orchid"/>
      <w:r>
        <w:rPr>
          <w:noProof/>
        </w:rPr>
        <w:drawing>
          <wp:inline distT="0" distB="0" distL="0" distR="0" wp14:anchorId="13F3E731" wp14:editId="13F3E732">
            <wp:extent cx="152400" cy="152400"/>
            <wp:effectExtent l="0" t="0" r="0" b="0"/>
            <wp:docPr id="28"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9"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http://orcid.org/0000-0001-7454-3161</w:t>
      </w:r>
    </w:p>
    <w:p w14:paraId="13F3E6F0" w14:textId="77777777" w:rsidR="00B960FE"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 xml:space="preserve">project administration, data curation, formal analysis, investigation, visualization, writing – original draft, and writing – review &amp; editing. </w:t>
      </w:r>
      <w:r>
        <w:rPr>
          <w:i/>
          <w:iCs/>
        </w:rPr>
        <w:t>Zoltan Dienes</w:t>
      </w:r>
      <w:r>
        <w:rPr>
          <w:b/>
          <w:bCs/>
        </w:rPr>
        <w:t xml:space="preserve">: </w:t>
      </w:r>
      <w:r>
        <w:t>supervision and writing – review &amp; editing</w:t>
      </w:r>
    </w:p>
    <w:p w14:paraId="13F3E6F1" w14:textId="77777777" w:rsidR="00B960FE" w:rsidRDefault="00000000">
      <w:pPr>
        <w:pStyle w:val="BodyText"/>
      </w:pPr>
      <w:r>
        <w:t>Correspondence concerning this article should be addressed to Dominique Makowski, School of Psychology, University of Sussex, Email: D.Makowski@sussex.ac.uk</w:t>
      </w:r>
    </w:p>
    <w:p w14:paraId="13F3E6F2" w14:textId="77777777" w:rsidR="00B960FE" w:rsidRDefault="00000000">
      <w:r>
        <w:br w:type="page"/>
      </w:r>
    </w:p>
    <w:p w14:paraId="13F3E6F3" w14:textId="77777777" w:rsidR="00B960FE" w:rsidRDefault="00000000">
      <w:pPr>
        <w:pStyle w:val="Heading1"/>
      </w:pPr>
      <w:bookmarkStart w:id="3" w:name="abstract"/>
      <w:bookmarkEnd w:id="1"/>
      <w:r>
        <w:lastRenderedPageBreak/>
        <w:t>Abstract</w:t>
      </w:r>
    </w:p>
    <w:p w14:paraId="13F3E6F4" w14:textId="77777777" w:rsidR="00B960FE" w:rsidRDefault="00000000">
      <w:pPr>
        <w:pStyle w:val="Abstract"/>
      </w:pPr>
      <w:r>
        <w:t>Blablablabla blablabla todo todo todo.</w:t>
      </w:r>
    </w:p>
    <w:p w14:paraId="13F3E6F5" w14:textId="77777777" w:rsidR="00B960FE" w:rsidRDefault="00000000">
      <w:pPr>
        <w:pStyle w:val="BodyText"/>
      </w:pPr>
      <w:r>
        <w:rPr>
          <w:i/>
          <w:iCs/>
        </w:rPr>
        <w:t>Keywords</w:t>
      </w:r>
      <w:r>
        <w:t>: keyword1, keyword2, keyword3</w:t>
      </w:r>
    </w:p>
    <w:p w14:paraId="13F3E6F6" w14:textId="77777777" w:rsidR="00B960FE" w:rsidRDefault="00000000">
      <w:r>
        <w:br w:type="page"/>
      </w:r>
    </w:p>
    <w:p w14:paraId="13F3E6F7" w14:textId="77777777" w:rsidR="00B960FE" w:rsidRDefault="00000000">
      <w:pPr>
        <w:pStyle w:val="Heading1"/>
      </w:pPr>
      <w:bookmarkStart w:id="4" w:name="firstheader"/>
      <w:bookmarkEnd w:id="3"/>
      <w:r>
        <w:lastRenderedPageBreak/>
        <w:t>Is Phenomenological Control related to Illusion Sensitivity</w:t>
      </w:r>
    </w:p>
    <w:p w14:paraId="13F3E6F8" w14:textId="77777777" w:rsidR="00B960FE" w:rsidRDefault="00000000">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optimally combines, using some flavour of Bayesian inference, perceptual inputs with prior knowledge to make sense of ambiguous environments (Friston, 2010).</w:t>
      </w:r>
    </w:p>
    <w:p w14:paraId="13F3E6F9" w14:textId="77777777" w:rsidR="00B960FE"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13F3E6FA" w14:textId="77777777" w:rsidR="00B960FE" w:rsidRDefault="00000000">
      <w:pPr>
        <w:pStyle w:val="BodyText"/>
      </w:pPr>
      <w:r>
        <w:t xml:space="preserve">These accounts also provide a compelling framework to explain existing findings reporting interindividual variability in the sensitivity to illusions. Indeed, several studies suggest a relationship between psychopathology and lower illusion sensitivity. Schizophrenic patients, for instance, constantly exhibit lower scores on visual illusion tasks (Costa et al., 2023). Proposed explanations, under this framework, emphasise alterations in metacognitive </w:t>
      </w:r>
      <w:r>
        <w:lastRenderedPageBreak/>
        <w:t>components whereby greater confidence is given to sensory evidence over prior knowledge, which show as reduced susceptibility to the effect of illusions (Notredame et al., 2014). While evidence for lower visual sensitivity is less established in autistic individuals (Gori et al., 2016), reduced biases in the effects of illusions have also been attributed to diminished influence of top-down processes such as prior knowledge (Mitchell et al., 2010) and greater emphasis on sensory information (Palmer et al., 2017). Evidence beyond psychopathology suggests illusion sensitivity variation in the general population, which could be correlated for instance with personality traits such as higher agreeableness and honest-humility (Makowski et al., 2023) and open-mindness and flexibility of cognitive control (Shoshina &amp; Shelepin, 2014).</w:t>
      </w:r>
    </w:p>
    <w:p w14:paraId="13F3E6FB" w14:textId="77777777" w:rsidR="00B960FE" w:rsidRDefault="00000000">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2023).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 (Makowski et al., 2023).</w:t>
      </w:r>
    </w:p>
    <w:p w14:paraId="13F3E6FC" w14:textId="77777777" w:rsidR="00B960FE" w:rsidRDefault="00000000">
      <w:pPr>
        <w:pStyle w:val="BodyText"/>
      </w:pPr>
      <w:r>
        <w:lastRenderedPageBreak/>
        <w:t>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Pyllusion software (Makowski et al., 2021),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13F3E6FD" w14:textId="77777777" w:rsidR="00B960FE" w:rsidRDefault="00000000">
      <w:pPr>
        <w:pStyle w:val="BodyText"/>
      </w:pPr>
      <w:r>
        <w:t>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13F3E6FE" w14:textId="77777777" w:rsidR="00B960FE" w:rsidRDefault="00000000">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 “hypnotisability” - the </w:t>
      </w:r>
      <w:r>
        <w:lastRenderedPageBreak/>
        <w:t>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13F3E6FF" w14:textId="77777777" w:rsidR="00B960FE" w:rsidRDefault="00000000">
      <w:pPr>
        <w:pStyle w:val="BodyText"/>
      </w:pPr>
      <w:r>
        <w:t>To encourage the empirical exploration of our ability and tendency to alter our phenomenological experience and further accelerate investigations away from the hypnotic context, Lush et al. (2021) adapted the Sussex-Waterloo Scale of Hypnotisability (SWASH</w:t>
      </w:r>
      <w:r>
        <w:rPr>
          <w:b/>
          <w:bCs/>
        </w:rPr>
        <w:t>,</w:t>
      </w:r>
      <w:r>
        <w:t xml:space="preserve">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 (Lush et al., 2022).</w:t>
      </w:r>
    </w:p>
    <w:p w14:paraId="13F3E700" w14:textId="77777777" w:rsidR="00B960FE" w:rsidRDefault="00000000">
      <w:pPr>
        <w:pStyle w:val="BodyText"/>
      </w:pPr>
      <w:r>
        <w:t>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would encompass other illusion types.</w:t>
      </w:r>
    </w:p>
    <w:p w14:paraId="13F3E701" w14:textId="77777777" w:rsidR="00B960FE" w:rsidRDefault="00000000">
      <w:pPr>
        <w:pStyle w:val="Heading1"/>
      </w:pPr>
      <w:bookmarkStart w:id="5" w:name="methods"/>
      <w:bookmarkEnd w:id="4"/>
      <w:r>
        <w:lastRenderedPageBreak/>
        <w:t>Methods</w:t>
      </w:r>
    </w:p>
    <w:p w14:paraId="13F3E702" w14:textId="77777777" w:rsidR="00B960FE" w:rsidRDefault="00000000">
      <w:pPr>
        <w:pStyle w:val="Heading2"/>
      </w:pPr>
      <w:bookmarkStart w:id="6" w:name="participants"/>
      <w:r>
        <w:t>Participants</w:t>
      </w:r>
    </w:p>
    <w:p w14:paraId="13F3E703" w14:textId="77777777" w:rsidR="00B960FE"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will be approved by the ethics board of the School of Psychology of the University of Sussex (XX/XXXX).</w:t>
      </w:r>
    </w:p>
    <w:p w14:paraId="13F3E704" w14:textId="77777777" w:rsidR="00B960FE" w:rsidRDefault="00000000">
      <w:pPr>
        <w:pStyle w:val="Heading2"/>
      </w:pPr>
      <w:bookmarkStart w:id="7" w:name="procedure"/>
      <w:bookmarkEnd w:id="6"/>
      <w:r>
        <w:t>Procedure</w:t>
      </w:r>
    </w:p>
    <w:p w14:paraId="13F3E705" w14:textId="77777777" w:rsidR="00B960FE" w:rsidRDefault="00000000">
      <w:pPr>
        <w:pStyle w:val="FirstParagraph"/>
      </w:pPr>
      <w:r>
        <w:t>The experiment’s setup follows the born-open principle (De Leeuw, 2023). The online experiment, implemented entirely using JsPsych (De Leeuw, 2015), has its code stored on GitHub and will leverage the power of the platform to host the experiment for free. Participants’ raw data files are then automatically stored on a European server on OSF; and the deanonymized and ready-to-use data (downloaded from OSF and formatted using a reproducible script) will be made available in the same GitHub repository, alongside the scripts used for the analysis.</w:t>
      </w:r>
    </w:p>
    <w:p w14:paraId="13F3E706" w14:textId="77777777" w:rsidR="00B960FE" w:rsidRDefault="00000000">
      <w:pPr>
        <w:pStyle w:val="BodyText"/>
      </w:pPr>
      <w:r>
        <w:t>Participants will be presented with a consent form followed by demographic questions (gender, education level, age, and ethnicity). Participants will then be administered the PCS and the Illusion Game task (IG) in a counterbalanced order.</w:t>
      </w:r>
    </w:p>
    <w:p w14:paraId="13F3E707" w14:textId="77777777" w:rsidR="00B960FE" w:rsidRDefault="00000000">
      <w:pPr>
        <w:pStyle w:val="BodyText"/>
      </w:pPr>
      <w:r>
        <w:rPr>
          <w:b/>
          <w:bCs/>
        </w:rPr>
        <w:t>Phenomenological Control Scale (PCS)</w:t>
      </w:r>
      <w:r>
        <w:t xml:space="preserve">. 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w:t>
      </w:r>
      <w:r>
        <w:lastRenderedPageBreak/>
        <w:t>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13F3E708" w14:textId="77777777" w:rsidR="00B960FE" w:rsidRDefault="00000000">
      <w:pPr>
        <w:pStyle w:val="BodyText"/>
      </w:pPr>
      <w:r>
        <w:rPr>
          <w:b/>
          <w:bCs/>
        </w:rPr>
        <w:t>Illusion Game</w:t>
      </w:r>
      <w:r>
        <w:t>. The task is an adaptation of the one used in Makowski et al. (2023) to make it shorter and more reliable, in which participants must make perceptual judgments (e.g., “which red line is the 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w:t>
      </w:r>
    </w:p>
    <w:p w14:paraId="13F3E709" w14:textId="77777777" w:rsidR="00B960FE" w:rsidRDefault="00000000">
      <w:pPr>
        <w:pStyle w:val="BodyText"/>
      </w:pPr>
      <w:r>
        <w:t xml:space="preserve">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“incongruent” (biasing perception in the direction of the incorrect response) or “congruent” </w:t>
      </w:r>
      <w:r>
        <w:lastRenderedPageBreak/>
        <w:t>(facilitating, i.e., biasing perception in the direction of the correct response). Participants respond with a key arrow (left vs. right; or up vs. down), and their reaction time (RT) and accuracy are recorded.</w:t>
      </w:r>
    </w:p>
    <w:p w14:paraId="13F3E70A" w14:textId="77777777" w:rsidR="00B960FE" w:rsidRDefault="00000000">
      <w:pPr>
        <w:pStyle w:val="BodyText"/>
      </w:pPr>
      <w:r>
        <w:t>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tradeoff), it is also the most simple and easy to reproduce, hence its usage as our primary outcome for the current preregistration.</w:t>
      </w:r>
    </w:p>
    <w:p w14:paraId="13F3E70B" w14:textId="77777777" w:rsidR="00B960FE" w:rsidRDefault="00000000">
      <w:pPr>
        <w:pStyle w:val="BodyText"/>
      </w:pPr>
      <w:r>
        <w:t>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w:t>
      </w:r>
    </w:p>
    <w:p w14:paraId="13F3E70C" w14:textId="77777777" w:rsidR="00B960FE" w:rsidRDefault="00000000">
      <w:pPr>
        <w:pStyle w:val="Heading2"/>
      </w:pPr>
      <w:bookmarkStart w:id="8" w:name="data-analysis"/>
      <w:bookmarkEnd w:id="7"/>
      <w:r>
        <w:t>Data Analysis</w:t>
      </w:r>
    </w:p>
    <w:p w14:paraId="13F3E70D" w14:textId="77777777" w:rsidR="00B960FE" w:rsidRDefault="00000000">
      <w:pPr>
        <w:pStyle w:val="FirstParagraph"/>
      </w:pPr>
      <w:r>
        <w:t>The PCS will contain several manipulation check indices to identify problematic participants. Participants should not answer “no balls were presented” when queried about the colour they observed on the screen following the negative visual hallucination suggestion, and should execute at least 5 space presses upon instructions to do so.</w:t>
      </w:r>
    </w:p>
    <w:p w14:paraId="13F3E70E" w14:textId="77777777" w:rsidR="00B960FE" w:rsidRDefault="00000000">
      <w:pPr>
        <w:pStyle w:val="BodyText"/>
      </w:pPr>
      <w:r>
        <w:t xml:space="preserve">Illusion Game outliers will be flagged based on their RT distributions, following the same procedure as in (Makowski et al., 2023). If the RT is collapsed to the left (i.e., has &gt; ⅓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w:t>
      </w:r>
      <w:r>
        <w:lastRenderedPageBreak/>
        <w:t>less precision). In addition, the removal of individual trials will also be performed [RT &lt; 200 ms or &gt; 3 SD; following Thériault et al. (2024)].</w:t>
      </w:r>
    </w:p>
    <w:p w14:paraId="13F3E70F" w14:textId="77777777" w:rsidR="00B960FE" w:rsidRDefault="00000000">
      <w:pPr>
        <w:pStyle w:val="BodyText"/>
      </w:pPr>
      <w:r>
        <w:t>After removing problematic participants and trials, the outcome measures (PC and VI sensitivity scores) will be computed and the Bayesian correlation (with medium prior on the coefficient, i.e., r-scale parameter set to 1/3) will be computed [using the BayesFactor package; Morey and Rouder (2024)]</w:t>
      </w:r>
      <w:r>
        <w:rPr>
          <w:b/>
          <w:bCs/>
        </w:rPr>
        <w:t>.</w:t>
      </w:r>
      <w:r>
        <w:t xml:space="preserve"> Following Lush et al. (2022), we expect to collect evidence against (BF10 &lt;= 1/3) a relationship between PCS and VI sensitivity. Data analysis will be carried out using R, using tidyverse (Wickham et al., 2019) and easystats (Lüdecke et al., 2020, 2022; Makowski et al., 2019, 2022; Patil et al., 2022). The analysis script and additional information are available at https://github.com/RealityBending/IllusionGamePhenomenologicalControl.</w:t>
      </w:r>
    </w:p>
    <w:p w14:paraId="13F3E710" w14:textId="77777777" w:rsidR="00B960FE" w:rsidRDefault="00000000">
      <w:pPr>
        <w:pStyle w:val="Heading1"/>
      </w:pPr>
      <w:bookmarkStart w:id="9" w:name="references"/>
      <w:bookmarkEnd w:id="5"/>
      <w:bookmarkEnd w:id="8"/>
      <w:r>
        <w:t>References</w:t>
      </w:r>
    </w:p>
    <w:p w14:paraId="13F3E711" w14:textId="77777777" w:rsidR="00B960FE" w:rsidRDefault="00000000">
      <w:pPr>
        <w:pStyle w:val="Bibliography"/>
      </w:pPr>
      <w:bookmarkStart w:id="10" w:name="ref-costa2023"/>
      <w:bookmarkStart w:id="11"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13F3E712" w14:textId="77777777" w:rsidR="00B960FE" w:rsidRDefault="00000000">
      <w:pPr>
        <w:pStyle w:val="Bibliography"/>
      </w:pPr>
      <w:bookmarkStart w:id="12" w:name="ref-de2015jspsych"/>
      <w:bookmarkEnd w:id="10"/>
      <w:r>
        <w:t xml:space="preserve">De Leeuw, J. R. (2015). jsPsych: A JavaScript library for creating behavioral experiments in a web browser. </w:t>
      </w:r>
      <w:r>
        <w:rPr>
          <w:i/>
          <w:iCs/>
        </w:rPr>
        <w:t>Behavior Research Methods</w:t>
      </w:r>
      <w:r>
        <w:t xml:space="preserve">, </w:t>
      </w:r>
      <w:r>
        <w:rPr>
          <w:i/>
          <w:iCs/>
        </w:rPr>
        <w:t>47</w:t>
      </w:r>
      <w:r>
        <w:t>, 1–12.</w:t>
      </w:r>
    </w:p>
    <w:p w14:paraId="13F3E713" w14:textId="77777777" w:rsidR="00B960FE" w:rsidRDefault="00000000">
      <w:pPr>
        <w:pStyle w:val="Bibliography"/>
      </w:pPr>
      <w:bookmarkStart w:id="13" w:name="ref-deleeuw2023"/>
      <w:bookmarkEnd w:id="12"/>
      <w:r>
        <w:t xml:space="preserve">De Leeuw, J. R. (2023). DataPipe: Born-open data collection for online experiments. </w:t>
      </w:r>
      <w:r>
        <w:rPr>
          <w:i/>
          <w:iCs/>
        </w:rPr>
        <w:t>Behavior Research Methods</w:t>
      </w:r>
      <w:r>
        <w:t xml:space="preserve">, </w:t>
      </w:r>
      <w:r>
        <w:rPr>
          <w:i/>
          <w:iCs/>
        </w:rPr>
        <w:t>56</w:t>
      </w:r>
      <w:r>
        <w:t xml:space="preserve">(3), 2499–2506. </w:t>
      </w:r>
      <w:hyperlink r:id="rId10">
        <w:r>
          <w:rPr>
            <w:rStyle w:val="Hyperlink"/>
          </w:rPr>
          <w:t>https://doi.org/10.3758/s13428-023-02161-x</w:t>
        </w:r>
      </w:hyperlink>
    </w:p>
    <w:p w14:paraId="13F3E714" w14:textId="77777777" w:rsidR="00B960FE" w:rsidRDefault="00000000">
      <w:pPr>
        <w:pStyle w:val="Bibliography"/>
      </w:pPr>
      <w:bookmarkStart w:id="14" w:name="ref-dienes2022"/>
      <w:bookmarkEnd w:id="13"/>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1">
        <w:r>
          <w:rPr>
            <w:rStyle w:val="Hyperlink"/>
          </w:rPr>
          <w:t>https://doi.org/10.1037/cns0000230</w:t>
        </w:r>
      </w:hyperlink>
    </w:p>
    <w:p w14:paraId="13F3E715" w14:textId="77777777" w:rsidR="00B960FE" w:rsidRDefault="00000000">
      <w:pPr>
        <w:pStyle w:val="Bibliography"/>
      </w:pPr>
      <w:bookmarkStart w:id="15" w:name="ref-friston2010"/>
      <w:bookmarkEnd w:id="14"/>
      <w:r>
        <w:t xml:space="preserve">Friston, K. (2010). The free-energy principle: a unified brain theory? </w:t>
      </w:r>
      <w:r>
        <w:rPr>
          <w:i/>
          <w:iCs/>
        </w:rPr>
        <w:t>Nature Reviews Neuroscience</w:t>
      </w:r>
      <w:r>
        <w:t xml:space="preserve">, </w:t>
      </w:r>
      <w:r>
        <w:rPr>
          <w:i/>
          <w:iCs/>
        </w:rPr>
        <w:t>11</w:t>
      </w:r>
      <w:r>
        <w:t xml:space="preserve">(2), 127–138. </w:t>
      </w:r>
      <w:hyperlink r:id="rId12">
        <w:r>
          <w:rPr>
            <w:rStyle w:val="Hyperlink"/>
          </w:rPr>
          <w:t>https://doi.org/10.1038/nrn2787</w:t>
        </w:r>
      </w:hyperlink>
    </w:p>
    <w:p w14:paraId="13F3E716" w14:textId="77777777" w:rsidR="00B960FE" w:rsidRDefault="00000000">
      <w:pPr>
        <w:pStyle w:val="Bibliography"/>
      </w:pPr>
      <w:bookmarkStart w:id="16" w:name="ref-gershman2012"/>
      <w:bookmarkEnd w:id="15"/>
      <w:r>
        <w:lastRenderedPageBreak/>
        <w:t xml:space="preserve">Gershman, S. J., Vul, E., &amp; Tenenbaum, J. B. (2012). Multistability and Perceptual Inference. </w:t>
      </w:r>
      <w:r>
        <w:rPr>
          <w:i/>
          <w:iCs/>
        </w:rPr>
        <w:t>Neural Computation</w:t>
      </w:r>
      <w:r>
        <w:t xml:space="preserve">, </w:t>
      </w:r>
      <w:r>
        <w:rPr>
          <w:i/>
          <w:iCs/>
        </w:rPr>
        <w:t>24</w:t>
      </w:r>
      <w:r>
        <w:t xml:space="preserve">(1), 1–24. </w:t>
      </w:r>
      <w:hyperlink r:id="rId13">
        <w:r>
          <w:rPr>
            <w:rStyle w:val="Hyperlink"/>
          </w:rPr>
          <w:t>https://doi.org/10.1162/neco_a_00226</w:t>
        </w:r>
      </w:hyperlink>
    </w:p>
    <w:p w14:paraId="13F3E717" w14:textId="77777777" w:rsidR="00B960FE" w:rsidRDefault="00000000">
      <w:pPr>
        <w:pStyle w:val="Bibliography"/>
      </w:pPr>
      <w:bookmarkStart w:id="17" w:name="ref-gori2016"/>
      <w:bookmarkEnd w:id="16"/>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4">
        <w:r>
          <w:rPr>
            <w:rStyle w:val="Hyperlink"/>
          </w:rPr>
          <w:t>https://doi.org/10.3389/fnhum.2016.00175</w:t>
        </w:r>
      </w:hyperlink>
    </w:p>
    <w:p w14:paraId="13F3E718" w14:textId="77777777" w:rsidR="00B960FE" w:rsidRDefault="00000000">
      <w:pPr>
        <w:pStyle w:val="Bibliography"/>
      </w:pPr>
      <w:bookmarkStart w:id="18" w:name="ref-krueger2011"/>
      <w:bookmarkEnd w:id="17"/>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5">
        <w:r>
          <w:rPr>
            <w:rStyle w:val="Hyperlink"/>
          </w:rPr>
          <w:t>https://doi.org/10.1080/00223891.2011.577478</w:t>
        </w:r>
      </w:hyperlink>
    </w:p>
    <w:p w14:paraId="13F3E719" w14:textId="77777777" w:rsidR="00B960FE" w:rsidRDefault="00000000">
      <w:pPr>
        <w:pStyle w:val="Bibliography"/>
      </w:pPr>
      <w:bookmarkStart w:id="19" w:name="ref-parameters"/>
      <w:bookmarkEnd w:id="18"/>
      <w:r>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6">
        <w:r>
          <w:rPr>
            <w:rStyle w:val="Hyperlink"/>
          </w:rPr>
          <w:t>https://doi.org/10.21105/joss.02445</w:t>
        </w:r>
      </w:hyperlink>
    </w:p>
    <w:p w14:paraId="13F3E71A" w14:textId="77777777" w:rsidR="00B960FE" w:rsidRDefault="00000000">
      <w:pPr>
        <w:pStyle w:val="Bibliography"/>
      </w:pPr>
      <w:bookmarkStart w:id="20" w:name="ref-easystats"/>
      <w:bookmarkEnd w:id="19"/>
      <w:r>
        <w:t xml:space="preserve">Lüdecke, D., Ben-Shachar, M. S., Patil, I., Wiernik, B. M., Bacher, E., Thériault, R., &amp; Makowski, D. (2022). </w:t>
      </w:r>
      <w:r>
        <w:rPr>
          <w:i/>
          <w:iCs/>
        </w:rPr>
        <w:t>Easystats: Framework for easy statistical modeling, visualization, and reporting</w:t>
      </w:r>
      <w:r>
        <w:t xml:space="preserve">. </w:t>
      </w:r>
      <w:hyperlink r:id="rId17">
        <w:r>
          <w:rPr>
            <w:rStyle w:val="Hyperlink"/>
          </w:rPr>
          <w:t>https://easystats.github.io/easystats/</w:t>
        </w:r>
      </w:hyperlink>
    </w:p>
    <w:p w14:paraId="13F3E71B" w14:textId="77777777" w:rsidR="00B960FE" w:rsidRDefault="00000000">
      <w:pPr>
        <w:pStyle w:val="Bibliography"/>
      </w:pPr>
      <w:bookmarkStart w:id="21" w:name="ref-lush2018"/>
      <w:bookmarkEnd w:id="20"/>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8">
        <w:r>
          <w:rPr>
            <w:rStyle w:val="Hyperlink"/>
          </w:rPr>
          <w:t>https://doi.org/10.1093/nc/niy006</w:t>
        </w:r>
      </w:hyperlink>
    </w:p>
    <w:p w14:paraId="13F3E71C" w14:textId="77777777" w:rsidR="00B960FE" w:rsidRDefault="00000000">
      <w:pPr>
        <w:pStyle w:val="Bibliography"/>
      </w:pPr>
      <w:bookmarkStart w:id="22" w:name="ref-lush2021"/>
      <w:bookmarkEnd w:id="21"/>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9">
        <w:r>
          <w:rPr>
            <w:rStyle w:val="Hyperlink"/>
          </w:rPr>
          <w:t>https://doi.org/10.1525/collabra.29542</w:t>
        </w:r>
      </w:hyperlink>
    </w:p>
    <w:p w14:paraId="13F3E71D" w14:textId="77777777" w:rsidR="00B960FE" w:rsidRDefault="00000000">
      <w:pPr>
        <w:pStyle w:val="Bibliography"/>
      </w:pPr>
      <w:bookmarkStart w:id="23" w:name="ref-lush2022"/>
      <w:bookmarkEnd w:id="22"/>
      <w:r>
        <w:lastRenderedPageBreak/>
        <w:t xml:space="preserve">Lush, P., Seth, A., Dienes, Z., &amp; Scott, R. B. (2022). </w:t>
      </w:r>
      <w:r>
        <w:rPr>
          <w:i/>
          <w:iCs/>
        </w:rPr>
        <w:t>Trait phenomenological control in top-down and bottom-up effects: ASMR, visually evoked auditory response and the müller-lyer illusion</w:t>
      </w:r>
      <w:r>
        <w:t xml:space="preserve">. </w:t>
      </w:r>
      <w:hyperlink r:id="rId20">
        <w:r>
          <w:rPr>
            <w:rStyle w:val="Hyperlink"/>
          </w:rPr>
          <w:t>http://dx.doi.org/10.31234/osf.io/hw4y9</w:t>
        </w:r>
      </w:hyperlink>
    </w:p>
    <w:p w14:paraId="13F3E71E" w14:textId="77777777" w:rsidR="00B960FE" w:rsidRDefault="00000000">
      <w:pPr>
        <w:pStyle w:val="Bibliography"/>
      </w:pPr>
      <w:bookmarkStart w:id="24" w:name="ref-bayestestR"/>
      <w:bookmarkEnd w:id="23"/>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1">
        <w:r>
          <w:rPr>
            <w:rStyle w:val="Hyperlink"/>
          </w:rPr>
          <w:t>https://doi.org/10.21105/joss.01541</w:t>
        </w:r>
      </w:hyperlink>
    </w:p>
    <w:p w14:paraId="13F3E71F" w14:textId="77777777" w:rsidR="00B960FE" w:rsidRDefault="00000000">
      <w:pPr>
        <w:pStyle w:val="Bibliography"/>
      </w:pPr>
      <w:bookmarkStart w:id="25" w:name="ref-makowski2021"/>
      <w:bookmarkEnd w:id="24"/>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2">
        <w:r>
          <w:rPr>
            <w:rStyle w:val="Hyperlink"/>
          </w:rPr>
          <w:t>https://doi.org/10.1177/03010066211057347</w:t>
        </w:r>
      </w:hyperlink>
    </w:p>
    <w:p w14:paraId="13F3E720" w14:textId="77777777" w:rsidR="00B960FE" w:rsidRDefault="00000000">
      <w:pPr>
        <w:pStyle w:val="Bibliography"/>
      </w:pPr>
      <w:bookmarkStart w:id="26" w:name="ref-makowski2023"/>
      <w:bookmarkEnd w:id="25"/>
      <w:r>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3">
        <w:r>
          <w:rPr>
            <w:rStyle w:val="Hyperlink"/>
          </w:rPr>
          <w:t>https://doi.org/10.1038/s41598-023-33148-5</w:t>
        </w:r>
      </w:hyperlink>
    </w:p>
    <w:p w14:paraId="13F3E721" w14:textId="77777777" w:rsidR="00B960FE" w:rsidRDefault="00000000">
      <w:pPr>
        <w:pStyle w:val="Bibliography"/>
      </w:pPr>
      <w:bookmarkStart w:id="27" w:name="ref-correlation"/>
      <w:bookmarkEnd w:id="26"/>
      <w:r>
        <w:t xml:space="preserve">Makowski, D., Wiernik, B. M., Patil, I., Lüdecke, D., &amp; Ben-Shachar, M. S. (2022). </w:t>
      </w:r>
      <w:r>
        <w:rPr>
          <w:i/>
          <w:iCs/>
        </w:rPr>
        <w:t>Correlation: Methods for correlation analysis</w:t>
      </w:r>
      <w:r>
        <w:t xml:space="preserve">. </w:t>
      </w:r>
      <w:hyperlink r:id="rId24">
        <w:r>
          <w:rPr>
            <w:rStyle w:val="Hyperlink"/>
          </w:rPr>
          <w:t>https://CRAN.R-project.org/package=correlation</w:t>
        </w:r>
      </w:hyperlink>
    </w:p>
    <w:p w14:paraId="13F3E722" w14:textId="77777777" w:rsidR="00B960FE" w:rsidRDefault="00000000">
      <w:pPr>
        <w:pStyle w:val="Bibliography"/>
      </w:pPr>
      <w:bookmarkStart w:id="28" w:name="ref-mitchell2010"/>
      <w:bookmarkEnd w:id="27"/>
      <w:r>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5">
        <w:r>
          <w:rPr>
            <w:rStyle w:val="Hyperlink"/>
          </w:rPr>
          <w:t>https://doi.org/10.1002/aur.130</w:t>
        </w:r>
      </w:hyperlink>
    </w:p>
    <w:p w14:paraId="13F3E723" w14:textId="77777777" w:rsidR="00B960FE" w:rsidRDefault="00000000">
      <w:pPr>
        <w:pStyle w:val="Bibliography"/>
      </w:pPr>
      <w:bookmarkStart w:id="29" w:name="ref-BayesFactor"/>
      <w:bookmarkEnd w:id="28"/>
      <w:r>
        <w:t xml:space="preserve">Morey, R. D., &amp; Rouder, J. N. (2024). </w:t>
      </w:r>
      <w:r>
        <w:rPr>
          <w:i/>
          <w:iCs/>
        </w:rPr>
        <w:t>BayesFactor: Computation of bayes factors for common designs</w:t>
      </w:r>
      <w:r>
        <w:t xml:space="preserve">. </w:t>
      </w:r>
      <w:hyperlink r:id="rId26">
        <w:r>
          <w:rPr>
            <w:rStyle w:val="Hyperlink"/>
          </w:rPr>
          <w:t>https://CRAN.R-project.org/package=BayesFactor</w:t>
        </w:r>
      </w:hyperlink>
    </w:p>
    <w:p w14:paraId="13F3E724" w14:textId="77777777" w:rsidR="00B960FE" w:rsidRDefault="00000000">
      <w:pPr>
        <w:pStyle w:val="Bibliography"/>
      </w:pPr>
      <w:bookmarkStart w:id="30" w:name="ref-notredame2014"/>
      <w:bookmarkEnd w:id="29"/>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7">
        <w:r>
          <w:rPr>
            <w:rStyle w:val="Hyperlink"/>
          </w:rPr>
          <w:t>https://doi.org/10.3389/fnint.2014.00063</w:t>
        </w:r>
      </w:hyperlink>
    </w:p>
    <w:p w14:paraId="13F3E725" w14:textId="77777777" w:rsidR="00B960FE" w:rsidRDefault="00000000">
      <w:pPr>
        <w:pStyle w:val="Bibliography"/>
      </w:pPr>
      <w:bookmarkStart w:id="31" w:name="ref-palmer2017"/>
      <w:bookmarkEnd w:id="30"/>
      <w:r>
        <w:lastRenderedPageBreak/>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8">
        <w:r>
          <w:rPr>
            <w:rStyle w:val="Hyperlink"/>
          </w:rPr>
          <w:t>https://doi.org/10.1037/bul0000097</w:t>
        </w:r>
      </w:hyperlink>
    </w:p>
    <w:p w14:paraId="13F3E726" w14:textId="77777777" w:rsidR="00B960FE" w:rsidRDefault="00000000">
      <w:pPr>
        <w:pStyle w:val="Bibliography"/>
      </w:pPr>
      <w:bookmarkStart w:id="32" w:name="ref-datawizard"/>
      <w:bookmarkEnd w:id="31"/>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9">
        <w:r>
          <w:rPr>
            <w:rStyle w:val="Hyperlink"/>
          </w:rPr>
          <w:t>https://doi.org/10.21105/joss.04684</w:t>
        </w:r>
      </w:hyperlink>
    </w:p>
    <w:p w14:paraId="13F3E727" w14:textId="77777777" w:rsidR="00B960FE" w:rsidRDefault="00000000">
      <w:pPr>
        <w:pStyle w:val="Bibliography"/>
      </w:pPr>
      <w:bookmarkStart w:id="33" w:name="ref-shoshina2014"/>
      <w:bookmarkEnd w:id="32"/>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0">
        <w:r>
          <w:rPr>
            <w:rStyle w:val="Hyperlink"/>
          </w:rPr>
          <w:t>https://doi.org/10.1007/s11055-014-9978-2</w:t>
        </w:r>
      </w:hyperlink>
    </w:p>
    <w:p w14:paraId="13F3E728" w14:textId="77777777" w:rsidR="00B960FE" w:rsidRDefault="00000000">
      <w:pPr>
        <w:pStyle w:val="Bibliography"/>
      </w:pPr>
      <w:bookmarkStart w:id="34" w:name="ref-sibley2011mini"/>
      <w:bookmarkEnd w:id="33"/>
      <w:r>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13F3E729" w14:textId="77777777" w:rsidR="00B960FE" w:rsidRDefault="00000000">
      <w:pPr>
        <w:pStyle w:val="Bibliography"/>
      </w:pPr>
      <w:bookmarkStart w:id="35" w:name="ref-sundareswara2008"/>
      <w:bookmarkEnd w:id="34"/>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1">
        <w:r>
          <w:rPr>
            <w:rStyle w:val="Hyperlink"/>
          </w:rPr>
          <w:t>https://doi.org/10.1167/8.5.12</w:t>
        </w:r>
      </w:hyperlink>
    </w:p>
    <w:p w14:paraId="13F3E72A" w14:textId="77777777" w:rsidR="00B960FE" w:rsidRDefault="00000000">
      <w:pPr>
        <w:pStyle w:val="Bibliography"/>
      </w:pPr>
      <w:bookmarkStart w:id="36" w:name="ref-thériault2024"/>
      <w:bookmarkEnd w:id="35"/>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2">
        <w:r>
          <w:rPr>
            <w:rStyle w:val="Hyperlink"/>
          </w:rPr>
          <w:t>https://doi.org/10.3758/s13428-024-02356-w</w:t>
        </w:r>
      </w:hyperlink>
    </w:p>
    <w:p w14:paraId="13F3E72B" w14:textId="77777777" w:rsidR="00B960FE" w:rsidRDefault="00000000">
      <w:pPr>
        <w:pStyle w:val="Bibliography"/>
      </w:pPr>
      <w:bookmarkStart w:id="37" w:name="ref-todorovic2020"/>
      <w:bookmarkEnd w:id="36"/>
      <w:r>
        <w:t xml:space="preserve">Todorović, D. (2020). What Are Visual Illusions? </w:t>
      </w:r>
      <w:r>
        <w:rPr>
          <w:i/>
          <w:iCs/>
        </w:rPr>
        <w:t>Perception</w:t>
      </w:r>
      <w:r>
        <w:t xml:space="preserve">, </w:t>
      </w:r>
      <w:r>
        <w:rPr>
          <w:i/>
          <w:iCs/>
        </w:rPr>
        <w:t>49</w:t>
      </w:r>
      <w:r>
        <w:t xml:space="preserve">(11), 1128–1199. </w:t>
      </w:r>
      <w:hyperlink r:id="rId33">
        <w:r>
          <w:rPr>
            <w:rStyle w:val="Hyperlink"/>
          </w:rPr>
          <w:t>https://doi.org/10.1177/0301006620962279</w:t>
        </w:r>
      </w:hyperlink>
    </w:p>
    <w:p w14:paraId="13F3E72C" w14:textId="77777777" w:rsidR="00B960FE" w:rsidRDefault="00000000">
      <w:pPr>
        <w:pStyle w:val="Bibliography"/>
      </w:pPr>
      <w:bookmarkStart w:id="38" w:name="ref-tidyverse"/>
      <w:bookmarkEnd w:id="37"/>
      <w:r>
        <w:t xml:space="preserve">Wickham, H., Averick, M., Bryan, J., Chang, W., McGowan, L. D., François, R., Grolemund, G., Hayes, A., Henry, L., Hester, J., Kuhn, M., Pedersen, T. L., Miller, E., Bache, S. M., </w:t>
      </w:r>
      <w:r>
        <w:lastRenderedPageBreak/>
        <w:t xml:space="preserve">Müller, K., Ooms, J., Robinson, D., Seidel, D. P., Spinu, V., … Yutani, H. (2019). </w:t>
      </w:r>
      <w:r>
        <w:rPr>
          <w:i/>
          <w:iCs/>
        </w:rPr>
        <w:t>Welcome to the tidyverse</w:t>
      </w:r>
      <w:r>
        <w:t xml:space="preserve">. </w:t>
      </w:r>
      <w:r>
        <w:rPr>
          <w:i/>
          <w:iCs/>
        </w:rPr>
        <w:t>4</w:t>
      </w:r>
      <w:r>
        <w:t xml:space="preserve">, 1686. </w:t>
      </w:r>
      <w:hyperlink r:id="rId34">
        <w:r>
          <w:rPr>
            <w:rStyle w:val="Hyperlink"/>
          </w:rPr>
          <w:t>https://doi.org/10.21105/joss.01686</w:t>
        </w:r>
      </w:hyperlink>
      <w:bookmarkEnd w:id="9"/>
      <w:bookmarkEnd w:id="11"/>
      <w:bookmarkEnd w:id="38"/>
    </w:p>
    <w:sectPr w:rsidR="00B960FE">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CF87F" w14:textId="77777777" w:rsidR="00E70606" w:rsidRDefault="00E70606">
      <w:pPr>
        <w:spacing w:line="240" w:lineRule="auto"/>
      </w:pPr>
      <w:r>
        <w:separator/>
      </w:r>
    </w:p>
  </w:endnote>
  <w:endnote w:type="continuationSeparator" w:id="0">
    <w:p w14:paraId="7B8CBE86" w14:textId="77777777" w:rsidR="00E70606" w:rsidRDefault="00E70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F2FF4" w14:textId="77777777" w:rsidR="00E70606" w:rsidRDefault="00E70606">
      <w:r>
        <w:separator/>
      </w:r>
    </w:p>
  </w:footnote>
  <w:footnote w:type="continuationSeparator" w:id="0">
    <w:p w14:paraId="35FE1F96" w14:textId="77777777" w:rsidR="00E70606" w:rsidRDefault="00E70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A424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2079592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FE"/>
    <w:rsid w:val="00B960FE"/>
    <w:rsid w:val="00E70606"/>
    <w:rsid w:val="00F16E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E6E4"/>
  <w15:docId w15:val="{087FB3D9-E72E-44AB-BE9E-E4A49E4B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F16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2/neco_a_00226" TargetMode="External"/><Relationship Id="rId18" Type="http://schemas.openxmlformats.org/officeDocument/2006/relationships/hyperlink" Target="https://doi.org/10.1093/nc/niy006" TargetMode="External"/><Relationship Id="rId26" Type="http://schemas.openxmlformats.org/officeDocument/2006/relationships/hyperlink" Target="https://CRAN.R-project.org/package=BayesFactor" TargetMode="External"/><Relationship Id="rId3" Type="http://schemas.openxmlformats.org/officeDocument/2006/relationships/settings" Target="settings.xml"/><Relationship Id="rId21" Type="http://schemas.openxmlformats.org/officeDocument/2006/relationships/hyperlink" Target="https://doi.org/10.21105/joss.01541" TargetMode="External"/><Relationship Id="rId34" Type="http://schemas.openxmlformats.org/officeDocument/2006/relationships/hyperlink" Target="https://doi.org/10.21105/joss.01686" TargetMode="External"/><Relationship Id="rId7" Type="http://schemas.openxmlformats.org/officeDocument/2006/relationships/image" Target="media/image1.png"/><Relationship Id="rId12" Type="http://schemas.openxmlformats.org/officeDocument/2006/relationships/hyperlink" Target="https://doi.org/10.1038/nrn2787" TargetMode="External"/><Relationship Id="rId17" Type="http://schemas.openxmlformats.org/officeDocument/2006/relationships/hyperlink" Target="https://easystats.github.io/easystats/" TargetMode="External"/><Relationship Id="rId25" Type="http://schemas.openxmlformats.org/officeDocument/2006/relationships/hyperlink" Target="https://doi.org/10.1002/aur.130" TargetMode="External"/><Relationship Id="rId33" Type="http://schemas.openxmlformats.org/officeDocument/2006/relationships/hyperlink" Target="https://doi.org/10.1177/0301006620962279" TargetMode="External"/><Relationship Id="rId2" Type="http://schemas.openxmlformats.org/officeDocument/2006/relationships/styles" Target="styles.xml"/><Relationship Id="rId16" Type="http://schemas.openxmlformats.org/officeDocument/2006/relationships/hyperlink" Target="https://doi.org/10.21105/joss.02445" TargetMode="External"/><Relationship Id="rId20" Type="http://schemas.openxmlformats.org/officeDocument/2006/relationships/hyperlink" Target="http://dx.doi.org/10.31234/osf.io/hw4y9" TargetMode="External"/><Relationship Id="rId29" Type="http://schemas.openxmlformats.org/officeDocument/2006/relationships/hyperlink" Target="https://doi.org/10.21105/joss.046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ns0000230" TargetMode="External"/><Relationship Id="rId24" Type="http://schemas.openxmlformats.org/officeDocument/2006/relationships/hyperlink" Target="https://CRAN.R-project.org/package=correlation" TargetMode="External"/><Relationship Id="rId32" Type="http://schemas.openxmlformats.org/officeDocument/2006/relationships/hyperlink" Target="https://doi.org/10.3758/s13428-024-02356-w" TargetMode="External"/><Relationship Id="rId5" Type="http://schemas.openxmlformats.org/officeDocument/2006/relationships/footnotes" Target="footnotes.xml"/><Relationship Id="rId15" Type="http://schemas.openxmlformats.org/officeDocument/2006/relationships/hyperlink" Target="https://doi.org/10.1080/00223891.2011.577478" TargetMode="External"/><Relationship Id="rId23" Type="http://schemas.openxmlformats.org/officeDocument/2006/relationships/hyperlink" Target="https://doi.org/10.1038/s41598-023-33148-5" TargetMode="External"/><Relationship Id="rId28" Type="http://schemas.openxmlformats.org/officeDocument/2006/relationships/hyperlink" Target="https://doi.org/10.1037/bul0000097" TargetMode="External"/><Relationship Id="rId36" Type="http://schemas.openxmlformats.org/officeDocument/2006/relationships/theme" Target="theme/theme1.xml"/><Relationship Id="rId10" Type="http://schemas.openxmlformats.org/officeDocument/2006/relationships/hyperlink" Target="https://doi.org/10.3758/s13428-023-02161-x" TargetMode="External"/><Relationship Id="rId19" Type="http://schemas.openxmlformats.org/officeDocument/2006/relationships/hyperlink" Target="https://doi.org/10.1525/collabra.29542" TargetMode="External"/><Relationship Id="rId31" Type="http://schemas.openxmlformats.org/officeDocument/2006/relationships/hyperlink" Target="https://doi.org/10.1167/8.5.12"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3389/fnhum.2016.00175" TargetMode="External"/><Relationship Id="rId22" Type="http://schemas.openxmlformats.org/officeDocument/2006/relationships/hyperlink" Target="https://doi.org/10.1177/03010066211057347" TargetMode="External"/><Relationship Id="rId27" Type="http://schemas.openxmlformats.org/officeDocument/2006/relationships/hyperlink" Target="https://doi.org/10.3389/fnint.2014.00063" TargetMode="External"/><Relationship Id="rId30" Type="http://schemas.openxmlformats.org/officeDocument/2006/relationships/hyperlink" Target="https://doi.org/10.1007/s11055-014-9978-2" TargetMode="External"/><Relationship Id="rId35" Type="http://schemas.openxmlformats.org/officeDocument/2006/relationships/fontTable" Target="fontTable.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description>ILLUSION SENSITIVITY AND PHENOMENOLOGICAL CONTROL</dc:description>
  <cp:lastModifiedBy>Ana Neves</cp:lastModifiedBy>
  <cp:revision>2</cp:revision>
  <dcterms:created xsi:type="dcterms:W3CDTF">2024-04-20T09:53:00Z</dcterms:created>
  <dcterms:modified xsi:type="dcterms:W3CDTF">2024-04-20T09:54:00Z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Blablablabla blablabla todo todo todo.</vt:lpwstr>
  </property>
  <property fmtid="{D5CDD505-2E9C-101B-9397-08002B2CF9AE}" pid="5" name="apaauthor">
    <vt:lpwstr/>
  </property>
  <property fmtid="{D5CDD505-2E9C-101B-9397-08002B2CF9AE}" pid="6" name="apatitle">
    <vt:lpwstr>Is Phenomenological Control related to Illusion Sensitivity</vt:lpwstr>
  </property>
  <property fmtid="{D5CDD505-2E9C-101B-9397-08002B2CF9AE}" pid="7" name="apatitledisplay">
    <vt:lpwstr>Is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masked-citations">
    <vt:lpwstr/>
  </property>
  <property fmtid="{D5CDD505-2E9C-101B-9397-08002B2CF9AE}" pid="26" name="numbered-lines">
    <vt:lpwstr>True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ILLUSION SENSITIVITY AND PHENOMENOLOGICAL CONTROL</vt:lpwstr>
  </property>
  <property fmtid="{D5CDD505-2E9C-101B-9397-08002B2CF9AE}" pid="32" name="suppress-title-page">
    <vt:lpwstr>False</vt:lpwstr>
  </property>
  <property fmtid="{D5CDD505-2E9C-101B-9397-08002B2CF9AE}" pid="33" name="tbl-cap-location">
    <vt:lpwstr>top</vt:lpwstr>
  </property>
  <property fmtid="{D5CDD505-2E9C-101B-9397-08002B2CF9AE}" pid="34" name="toc-title">
    <vt:lpwstr>Table of contents</vt:lpwstr>
  </property>
  <property fmtid="{D5CDD505-2E9C-101B-9397-08002B2CF9AE}" pid="35" name="zerocitations">
    <vt:lpwstr>False</vt:lpwstr>
  </property>
</Properties>
</file>