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Cs/>
          <w:i/>
        </w:rPr>
        <w:t xml:space="preserve">Dominique Makowski</w:t>
      </w:r>
      <w:r>
        <w:rPr>
          <w:bCs/>
          <w:b/>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Cs/>
          <w:i/>
        </w:rPr>
        <w:t xml:space="preserve">Ana Neves</w:t>
      </w:r>
      <w:r>
        <w:rPr>
          <w:bCs/>
          <w:b/>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Cs/>
          <w:i/>
        </w:rPr>
        <w:t xml:space="preserve">[N participants were recruited in an online study. Results will be added in the final version of the manuscript]</w:t>
      </w:r>
      <w:r>
        <w:t xml:space="preserve">.</w:t>
      </w:r>
    </w:p>
    <w:p>
      <w:pPr>
        <w:pStyle w:val="BodyText"/>
      </w:pPr>
      <w:r>
        <w:rPr>
          <w:iCs/>
          <w:i/>
        </w:rPr>
        <w:t xml:space="preserve">Keywords</w:t>
      </w:r>
      <w:r>
        <w:t xml:space="preserve">: illusion sensitivity, visual illusions, phenomenological control, suggestibility, hypnotizability</w:t>
      </w:r>
    </w:p>
    <w:p>
      <w:r>
        <w:br w:type="page"/>
      </w:r>
    </w:p>
    <w:bookmarkEnd w:id="29"/>
    <w:bookmarkStart w:id="30"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w:t>
      </w:r>
      <w:r>
        <w:t xml:space="preserve"> </w:t>
      </w:r>
      <w:r>
        <w:t xml:space="preserve">(Notredame et al., 2014)</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2023)</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r>
        <w:t xml:space="preserve"> </w:t>
      </w:r>
      <w:r>
        <w:t xml:space="preserve">(Makowski et al., 2023)</w:t>
      </w:r>
      <w:r>
        <w:t xml:space="preserve">.</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Cs/>
          <w:i/>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w:t>
      </w:r>
      <w:r>
        <w:t xml:space="preserve"> </w:t>
      </w:r>
      <w:r>
        <w:t xml:space="preserve">(Lush et al., 2022)</w:t>
      </w:r>
      <w: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 (see table 1).</w:t>
      </w:r>
    </w:p>
    <w:p>
      <w:pPr>
        <w:pStyle w:val="SourceCode"/>
      </w:pPr>
      <w:r>
        <w:br/>
      </w:r>
      <w:r>
        <w:br/>
      </w:r>
      <w:r>
        <w:rPr>
          <w:rStyle w:val="VerbatimChar"/>
        </w:rPr>
        <w:t xml:space="preserve">|Question                                                                                                  |Hypothesis                                                                                                                       |Sampling_plan                                                                                                                                                                           |Analysis_Plan                                                                                                                                                                                                                                    |Rationale                                                                                                                                                                                                   |Interpretation                                             |Theory |</w:t>
      </w:r>
      <w:r>
        <w:br/>
      </w:r>
      <w:r>
        <w:rPr>
          <w:rStyle w:val="VerbatimChar"/>
        </w:rPr>
        <w:t xml:space="preserve">|:---------------------------------------------------------------------------------------------------------|:--------------------------------------------------------------------------------------------------------------------------------|:---------------------------------------------------------------------------------------------------------------------------------------------------------------------------------------|:------------------------------------------------------------------------------------------------------------------------------------------------------------------------------------------------------------------------------------------------|:-----------------------------------------------------------------------------------------------------------------------------------------------------------------------------------------------------------|:----------------------------------------------------------|:------|</w:t>
      </w:r>
      <w:r>
        <w:br/>
      </w:r>
      <w:r>
        <w:rPr>
          <w:rStyle w:val="VerbatimChar"/>
        </w:rPr>
        <w:t xml:space="preserve">|Is there a relationship between trait phenomenological control (PC) and visual illusion (VI) sensitivity? |Replicating findings from Lush et al., 2022 paper, we expect evidence of favour of an absence of relationship between VI and PCS |The goal is to recruit around 500 adult English speakers using Prolific. This sample size is based on the ones used in Lush et l., 2021 and Lush et al., 2022 that we aim at replicate. |Bayesian correlations between the PC score and the VI performance for the 3 illusion types (corresponding to the error rate) will be computed using the BayesFactor::BFCorrelation() function (with the r-scale prior parameter set to 'medium') |Evidence against a relationship between PC and VI will be found if BF10 &lt;= 1/3, following the Lush et al., 2022 findings. BF10 &gt; 3 will be taken as evidence for a relationship between these two measures. |The hypothesis that VI sensitivity is independent from PC. |       |</w:t>
      </w:r>
    </w:p>
    <w:p>
      <w:pPr>
        <w:pStyle w:val="FirstParagraph"/>
      </w:pPr>
      <w:r>
        <w:t xml:space="preserve">Table 1. Study Design Table</w:t>
      </w:r>
    </w:p>
    <w:bookmarkEnd w:id="30"/>
    <w:bookmarkStart w:id="36" w:name="methods"/>
    <w:p>
      <w:pPr>
        <w:pStyle w:val="Heading1"/>
      </w:pPr>
      <w:r>
        <w:t xml:space="preserve">Methods</w:t>
      </w:r>
    </w:p>
    <w:bookmarkStart w:id="31"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will be approved by the ethics board of the School of Psychology of the University of Sussex (XX/XXXX).</w:t>
      </w:r>
    </w:p>
    <w:bookmarkEnd w:id="31"/>
    <w:bookmarkStart w:id="34" w:name="procedure"/>
    <w:p>
      <w:pPr>
        <w:pStyle w:val="Heading2"/>
      </w:pPr>
      <w:r>
        <w:t xml:space="preserve">Procedure</w:t>
      </w:r>
    </w:p>
    <w:p>
      <w:pPr>
        <w:pStyle w:val="FirstParagraph"/>
      </w:pPr>
      <w:r>
        <w:t xml:space="preserve">The experiment’s setup follows the born-open principle</w:t>
      </w:r>
      <w:r>
        <w:t xml:space="preserve"> </w:t>
      </w:r>
      <w:r>
        <w:t xml:space="preserve">(De Leeuw, 2023)</w:t>
      </w:r>
      <w:r>
        <w:t xml:space="preserve">. The online experiment, implemented entirely using</w:t>
      </w:r>
      <w:r>
        <w:t xml:space="preserve"> </w:t>
      </w:r>
      <w:r>
        <w:rPr>
          <w:iCs/>
          <w:i/>
        </w:rPr>
        <w:t xml:space="preserve">JsPsych</w:t>
      </w:r>
      <w:r>
        <w:t xml:space="preserve"> </w:t>
      </w:r>
      <w:r>
        <w:t xml:space="preserve">(De Leeuw, 2015)</w:t>
      </w:r>
      <w:r>
        <w:t xml:space="preserve">, has its code stored on GitHub and will leverage the power of the platform to host the experiment for free. Participants’ raw data files are then automatically stored on a European server on OSF; and the deanonymized and ready-to-use data (downloaded from OSF and formatted using a reproducible script) will be made available in the same GitHub repository, alongside the scripts used for the analysis.</w:t>
      </w:r>
    </w:p>
    <w:p>
      <w:pPr>
        <w:pStyle w:val="BodyText"/>
      </w:pPr>
      <w:r>
        <w:t xml:space="preserve">Participants will be presented with a consent form followed by demographic questions (gender, education level, age, and ethnicity). Participants will then be administered the PCS and the Illusion Game task (IG) in a counterbalanced order.</w:t>
      </w:r>
    </w:p>
    <w:bookmarkStart w:id="32"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 Once the 10 suggestions are completed, participants will be asked to rate their subjective experiences and response to each suggestion on a 6-points Likert scale. Phenomenological control will be indexed by averaging the scores from the 10 scales.</w:t>
      </w:r>
    </w:p>
    <w:bookmarkEnd w:id="32"/>
    <w:bookmarkStart w:id="33"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p>
    <w:bookmarkEnd w:id="33"/>
    <w:bookmarkEnd w:id="34"/>
    <w:bookmarkStart w:id="35" w:name="data-analysis"/>
    <w:p>
      <w:pPr>
        <w:pStyle w:val="Heading2"/>
      </w:pPr>
      <w:r>
        <w:t xml:space="preserve">Data Analysis</w:t>
      </w:r>
    </w:p>
    <w:p>
      <w:pPr>
        <w:pStyle w:val="FirstParagraph"/>
      </w:pPr>
      <w:r>
        <w:t xml:space="preserve">The PCS will contain several manipulation check indices to identify problematic participants. Participants should not answer</w:t>
      </w:r>
      <w:r>
        <w:t xml:space="preserve"> </w:t>
      </w:r>
      <w:r>
        <w:t xml:space="preserve">“</w:t>
      </w:r>
      <w:r>
        <w:t xml:space="preserve">no balls were presented</w:t>
      </w:r>
      <w:r>
        <w:t xml:space="preserve">”</w:t>
      </w:r>
      <w:r>
        <w:t xml:space="preserve"> </w:t>
      </w:r>
      <w:r>
        <w:t xml:space="preserve">when queried about the colour they observed on the screen following the negative visual hallucination suggestion, and should execute at least 5 space presses upon instructions to do so.</w:t>
      </w:r>
    </w:p>
    <w:p>
      <w:pPr>
        <w:pStyle w:val="BodyText"/>
      </w:pPr>
      <w:r>
        <w:t xml:space="preserve">Illusion Game outliers will be flagged based on their RT distributions, following the same procedure as in</w:t>
      </w:r>
      <w:r>
        <w:t xml:space="preserve"> </w:t>
      </w:r>
      <w:r>
        <w:t xml:space="preserve">(Makowski et al., 2023)</w:t>
      </w:r>
      <w:r>
        <w:t xml:space="preserve">.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Cs/>
          <w:i/>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Cs/>
          <w:i/>
        </w:rPr>
        <w:t xml:space="preserve">tidyverse</w:t>
      </w:r>
      <w:r>
        <w:t xml:space="preserve"> </w:t>
      </w:r>
      <w:r>
        <w:t xml:space="preserve">(Wickham et al., 2019)</w:t>
      </w:r>
      <w:r>
        <w:t xml:space="preserve"> </w:t>
      </w:r>
      <w:r>
        <w:t xml:space="preserve">and</w:t>
      </w:r>
      <w:r>
        <w:t xml:space="preserve"> </w:t>
      </w:r>
      <w:r>
        <w:rPr>
          <w:iCs/>
          <w:i/>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Cs/>
          <w:i/>
        </w:rPr>
        <w:t xml:space="preserve">https://github.com/RealityBending/IllusionGamePhenomenologicalControl</w:t>
      </w:r>
      <w:r>
        <w:t xml:space="preserve">.</w:t>
      </w:r>
    </w:p>
    <w:p>
      <w:r>
        <w:br w:type="page"/>
      </w:r>
    </w:p>
    <w:bookmarkEnd w:id="35"/>
    <w:bookmarkEnd w:id="36"/>
    <w:bookmarkStart w:id="92" w:name="references"/>
    <w:p>
      <w:pPr>
        <w:pStyle w:val="Heading1"/>
      </w:pPr>
      <w:r>
        <w:t xml:space="preserve">References</w:t>
      </w:r>
    </w:p>
    <w:bookmarkStart w:id="91" w:name="refs"/>
    <w:bookmarkStart w:id="38" w:name="ref-costa2023"/>
    <w:p>
      <w:pPr>
        <w:pStyle w:val="Bibliography"/>
      </w:pPr>
      <w:r>
        <w:t xml:space="preserve">Costa, A. L. L., Costa, D. L., Pessoa, V. F., Caixeta, F. V., &amp; Maior, R. S. (2023). Systematic review of visual illusions in schizophrenia.</w:t>
      </w:r>
      <w:r>
        <w:t xml:space="preserve"> </w:t>
      </w:r>
      <w:r>
        <w:rPr>
          <w:iCs/>
          <w:i/>
        </w:rPr>
        <w:t xml:space="preserve">Schizophrenia Research</w:t>
      </w:r>
      <w:r>
        <w:t xml:space="preserve">,</w:t>
      </w:r>
      <w:r>
        <w:t xml:space="preserve"> </w:t>
      </w:r>
      <w:r>
        <w:rPr>
          <w:iCs/>
          <w:i/>
        </w:rPr>
        <w:t xml:space="preserve">252</w:t>
      </w:r>
      <w:r>
        <w:t xml:space="preserve">, 13–22.</w:t>
      </w:r>
      <w:r>
        <w:t xml:space="preserve"> </w:t>
      </w:r>
      <w:hyperlink r:id="rId37">
        <w:r>
          <w:rPr>
            <w:rStyle w:val="Hyperlink"/>
          </w:rPr>
          <w:t xml:space="preserve">https://doi.org/10.1016/j.schres.2022.12.030</w:t>
        </w:r>
      </w:hyperlink>
    </w:p>
    <w:bookmarkEnd w:id="38"/>
    <w:bookmarkStart w:id="39" w:name="ref-de2015jspsych"/>
    <w:p>
      <w:pPr>
        <w:pStyle w:val="Bibliography"/>
      </w:pPr>
      <w:r>
        <w:t xml:space="preserve">De Leeuw, J. R. (2015). jsPsych: A JavaScript library for creating behavioral experiments in a web browser.</w:t>
      </w:r>
      <w:r>
        <w:t xml:space="preserve"> </w:t>
      </w:r>
      <w:r>
        <w:rPr>
          <w:iCs/>
          <w:i/>
        </w:rPr>
        <w:t xml:space="preserve">Behavior Research Methods</w:t>
      </w:r>
      <w:r>
        <w:t xml:space="preserve">,</w:t>
      </w:r>
      <w:r>
        <w:t xml:space="preserve"> </w:t>
      </w:r>
      <w:r>
        <w:rPr>
          <w:iCs/>
          <w:i/>
        </w:rPr>
        <w:t xml:space="preserve">47</w:t>
      </w:r>
      <w:r>
        <w:t xml:space="preserve">, 1–12.</w:t>
      </w:r>
    </w:p>
    <w:bookmarkEnd w:id="39"/>
    <w:bookmarkStart w:id="41" w:name="ref-deleeuw2023"/>
    <w:p>
      <w:pPr>
        <w:pStyle w:val="Bibliography"/>
      </w:pPr>
      <w:r>
        <w:t xml:space="preserve">De Leeuw, J. R. (2023). DataPipe: Born-open data collection for online experiments.</w:t>
      </w:r>
      <w:r>
        <w:t xml:space="preserve"> </w:t>
      </w:r>
      <w:r>
        <w:rPr>
          <w:iCs/>
          <w:i/>
        </w:rPr>
        <w:t xml:space="preserve">Behavior Research Methods</w:t>
      </w:r>
      <w:r>
        <w:t xml:space="preserve">,</w:t>
      </w:r>
      <w:r>
        <w:t xml:space="preserve"> </w:t>
      </w:r>
      <w:r>
        <w:rPr>
          <w:iCs/>
          <w:i/>
        </w:rPr>
        <w:t xml:space="preserve">56</w:t>
      </w:r>
      <w:r>
        <w:t xml:space="preserve">(3), 2499–2506.</w:t>
      </w:r>
      <w:r>
        <w:t xml:space="preserve"> </w:t>
      </w:r>
      <w:hyperlink r:id="rId40">
        <w:r>
          <w:rPr>
            <w:rStyle w:val="Hyperlink"/>
          </w:rPr>
          <w:t xml:space="preserve">https://doi.org/10.3758/s13428-023-02161-x</w:t>
        </w:r>
      </w:hyperlink>
    </w:p>
    <w:bookmarkEnd w:id="41"/>
    <w:bookmarkStart w:id="43" w:name="ref-dienes2022"/>
    <w:p>
      <w:pPr>
        <w:pStyle w:val="Bibliography"/>
      </w:pPr>
      <w:r>
        <w:t xml:space="preserve">Dienes, Z., Lush, P., Palfi, B., Roseboom, W., Scott, R., Parris, B., Seth, A., &amp; Lovell, M. (2022). Phenomenological control as cold control.</w:t>
      </w:r>
      <w:r>
        <w:t xml:space="preserve"> </w:t>
      </w:r>
      <w:r>
        <w:rPr>
          <w:iCs/>
          <w:i/>
        </w:rPr>
        <w:t xml:space="preserve">Psychology of Consciousness: Theory, Research, and Practice</w:t>
      </w:r>
      <w:r>
        <w:t xml:space="preserve">,</w:t>
      </w:r>
      <w:r>
        <w:t xml:space="preserve"> </w:t>
      </w:r>
      <w:r>
        <w:rPr>
          <w:iCs/>
          <w:i/>
        </w:rPr>
        <w:t xml:space="preserve">9</w:t>
      </w:r>
      <w:r>
        <w:t xml:space="preserve">(2), 101–116.</w:t>
      </w:r>
      <w:r>
        <w:t xml:space="preserve"> </w:t>
      </w:r>
      <w:hyperlink r:id="rId42">
        <w:r>
          <w:rPr>
            <w:rStyle w:val="Hyperlink"/>
          </w:rPr>
          <w:t xml:space="preserve">https://doi.org/10.1037/cns0000230</w:t>
        </w:r>
      </w:hyperlink>
    </w:p>
    <w:bookmarkEnd w:id="43"/>
    <w:bookmarkStart w:id="45" w:name="ref-friston2010"/>
    <w:p>
      <w:pPr>
        <w:pStyle w:val="Bibliography"/>
      </w:pPr>
      <w:r>
        <w:t xml:space="preserve">Friston, K. (2010). The free-energy principle: a unified brain theory?</w:t>
      </w:r>
      <w:r>
        <w:t xml:space="preserve"> </w:t>
      </w:r>
      <w:r>
        <w:rPr>
          <w:iCs/>
          <w:i/>
        </w:rPr>
        <w:t xml:space="preserve">Nature Reviews Neuroscience</w:t>
      </w:r>
      <w:r>
        <w:t xml:space="preserve">,</w:t>
      </w:r>
      <w:r>
        <w:t xml:space="preserve"> </w:t>
      </w:r>
      <w:r>
        <w:rPr>
          <w:iCs/>
          <w:i/>
        </w:rPr>
        <w:t xml:space="preserve">11</w:t>
      </w:r>
      <w:r>
        <w:t xml:space="preserve">(2), 127–138.</w:t>
      </w:r>
      <w:r>
        <w:t xml:space="preserve"> </w:t>
      </w:r>
      <w:hyperlink r:id="rId44">
        <w:r>
          <w:rPr>
            <w:rStyle w:val="Hyperlink"/>
          </w:rPr>
          <w:t xml:space="preserve">https://doi.org/10.1038/nrn2787</w:t>
        </w:r>
      </w:hyperlink>
    </w:p>
    <w:bookmarkEnd w:id="45"/>
    <w:bookmarkStart w:id="47" w:name="ref-gershman2012"/>
    <w:p>
      <w:pPr>
        <w:pStyle w:val="Bibliography"/>
      </w:pPr>
      <w:r>
        <w:t xml:space="preserve">Gershman, S. J., Vul, E., &amp; Tenenbaum, J. B. (2012). Multistability and Perceptual Inference.</w:t>
      </w:r>
      <w:r>
        <w:t xml:space="preserve"> </w:t>
      </w:r>
      <w:r>
        <w:rPr>
          <w:iCs/>
          <w:i/>
        </w:rPr>
        <w:t xml:space="preserve">Neural Computation</w:t>
      </w:r>
      <w:r>
        <w:t xml:space="preserve">,</w:t>
      </w:r>
      <w:r>
        <w:t xml:space="preserve"> </w:t>
      </w:r>
      <w:r>
        <w:rPr>
          <w:iCs/>
          <w:i/>
        </w:rPr>
        <w:t xml:space="preserve">24</w:t>
      </w:r>
      <w:r>
        <w:t xml:space="preserve">(1), 1–24.</w:t>
      </w:r>
      <w:r>
        <w:t xml:space="preserve"> </w:t>
      </w:r>
      <w:hyperlink r:id="rId46">
        <w:r>
          <w:rPr>
            <w:rStyle w:val="Hyperlink"/>
          </w:rPr>
          <w:t xml:space="preserve">https://doi.org/10.1162/neco_a_00226</w:t>
        </w:r>
      </w:hyperlink>
    </w:p>
    <w:bookmarkEnd w:id="47"/>
    <w:bookmarkStart w:id="49" w:name="ref-gori2016"/>
    <w:p>
      <w:pPr>
        <w:pStyle w:val="Bibliography"/>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w:t>
      </w:r>
      <w:r>
        <w:t xml:space="preserve"> </w:t>
      </w:r>
      <w:hyperlink r:id="rId48">
        <w:r>
          <w:rPr>
            <w:rStyle w:val="Hyperlink"/>
          </w:rPr>
          <w:t xml:space="preserve">https://doi.org/10.3389/fnhum.2016.00175</w:t>
        </w:r>
      </w:hyperlink>
    </w:p>
    <w:bookmarkEnd w:id="49"/>
    <w:bookmarkStart w:id="51" w:name="ref-krueger2011"/>
    <w:p>
      <w:pPr>
        <w:pStyle w:val="Bibliography"/>
      </w:pPr>
      <w:r>
        <w:t xml:space="preserve">Krueger, R. F., Eaton, N. R., Derringer, J., Markon, K. E., Watson, D., &amp; Skodol, A. E. (2011). Personality in</w:t>
      </w:r>
      <w:r>
        <w:rPr>
          <w:iCs/>
          <w:i/>
        </w:rPr>
        <w:t xml:space="preserve">DSM</w:t>
      </w:r>
      <w:r>
        <w:rPr>
          <w:iCs/>
          <w:i/>
        </w:rPr>
        <w:t xml:space="preserve">5:</w:t>
      </w:r>
      <w:r>
        <w:t xml:space="preserve">Helping Delineate Personality Disorder Content and Framing the Metastructure.</w:t>
      </w:r>
      <w:r>
        <w:t xml:space="preserve"> </w:t>
      </w:r>
      <w:r>
        <w:rPr>
          <w:iCs/>
          <w:i/>
        </w:rPr>
        <w:t xml:space="preserve">Journal of Personality Assessment</w:t>
      </w:r>
      <w:r>
        <w:t xml:space="preserve">,</w:t>
      </w:r>
      <w:r>
        <w:t xml:space="preserve"> </w:t>
      </w:r>
      <w:r>
        <w:rPr>
          <w:iCs/>
          <w:i/>
        </w:rPr>
        <w:t xml:space="preserve">93</w:t>
      </w:r>
      <w:r>
        <w:t xml:space="preserve">(4), 325–331.</w:t>
      </w:r>
      <w:r>
        <w:t xml:space="preserve"> </w:t>
      </w:r>
      <w:hyperlink r:id="rId50">
        <w:r>
          <w:rPr>
            <w:rStyle w:val="Hyperlink"/>
          </w:rPr>
          <w:t xml:space="preserve">https://doi.org/10.1080/00223891.2011.577478</w:t>
        </w:r>
      </w:hyperlink>
    </w:p>
    <w:bookmarkEnd w:id="51"/>
    <w:bookmarkStart w:id="53"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52">
        <w:r>
          <w:rPr>
            <w:rStyle w:val="Hyperlink"/>
          </w:rPr>
          <w:t xml:space="preserve">https://doi.org/10.21105/joss.02445</w:t>
        </w:r>
      </w:hyperlink>
    </w:p>
    <w:bookmarkEnd w:id="53"/>
    <w:bookmarkStart w:id="55" w:name="ref-easystats"/>
    <w:p>
      <w:pPr>
        <w:pStyle w:val="Bibliography"/>
      </w:pPr>
      <w:r>
        <w:t xml:space="preserve">Lüdecke, D., Ben-Shachar, M. S., Patil, I., Wiernik, B. M., Bacher, E., Thériault, R., &amp; Makowski, D. (2022).</w:t>
      </w:r>
      <w:r>
        <w:t xml:space="preserve"> </w:t>
      </w:r>
      <w:r>
        <w:rPr>
          <w:iCs/>
          <w:i/>
        </w:rPr>
        <w:t xml:space="preserve">Easystats: Framework for easy statistical modeling, visualization, and reporting</w:t>
      </w:r>
      <w:r>
        <w:t xml:space="preserve">.</w:t>
      </w:r>
      <w:r>
        <w:t xml:space="preserve"> </w:t>
      </w:r>
      <w:hyperlink r:id="rId54">
        <w:r>
          <w:rPr>
            <w:rStyle w:val="Hyperlink"/>
          </w:rPr>
          <w:t xml:space="preserve">https://easystats.github.io/easystats/</w:t>
        </w:r>
      </w:hyperlink>
    </w:p>
    <w:bookmarkEnd w:id="55"/>
    <w:bookmarkStart w:id="57" w:name="ref-lush2018"/>
    <w:p>
      <w:pPr>
        <w:pStyle w:val="Bibliography"/>
      </w:pPr>
      <w:r>
        <w:t xml:space="preserve">Lush, P., Moga, G., McLatchie, N., &amp; Dienes, Z. (2018). The Sussex-Waterloo Scale of Hypnotizability (SWASH): measuring capacity for altering conscious experience.</w:t>
      </w:r>
      <w:r>
        <w:t xml:space="preserve"> </w:t>
      </w:r>
      <w:r>
        <w:rPr>
          <w:iCs/>
          <w:i/>
        </w:rPr>
        <w:t xml:space="preserve">Neuroscience of Consciousness</w:t>
      </w:r>
      <w:r>
        <w:t xml:space="preserve">,</w:t>
      </w:r>
      <w:r>
        <w:t xml:space="preserve"> </w:t>
      </w:r>
      <w:r>
        <w:rPr>
          <w:iCs/>
          <w:i/>
        </w:rPr>
        <w:t xml:space="preserve">2018</w:t>
      </w:r>
      <w:r>
        <w:t xml:space="preserve">(1).</w:t>
      </w:r>
      <w:r>
        <w:t xml:space="preserve"> </w:t>
      </w:r>
      <w:hyperlink r:id="rId56">
        <w:r>
          <w:rPr>
            <w:rStyle w:val="Hyperlink"/>
          </w:rPr>
          <w:t xml:space="preserve">https://doi.org/10.1093/nc/niy006</w:t>
        </w:r>
      </w:hyperlink>
    </w:p>
    <w:bookmarkEnd w:id="57"/>
    <w:bookmarkStart w:id="59"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Cs/>
          <w:i/>
        </w:rPr>
        <w:t xml:space="preserve">Collabra: Psychology</w:t>
      </w:r>
      <w:r>
        <w:t xml:space="preserve">,</w:t>
      </w:r>
      <w:r>
        <w:t xml:space="preserve"> </w:t>
      </w:r>
      <w:r>
        <w:rPr>
          <w:iCs/>
          <w:i/>
        </w:rPr>
        <w:t xml:space="preserve">7</w:t>
      </w:r>
      <w:r>
        <w:t xml:space="preserve">(1).</w:t>
      </w:r>
      <w:r>
        <w:t xml:space="preserve"> </w:t>
      </w:r>
      <w:hyperlink r:id="rId58">
        <w:r>
          <w:rPr>
            <w:rStyle w:val="Hyperlink"/>
          </w:rPr>
          <w:t xml:space="preserve">https://doi.org/10.1525/collabra.29542</w:t>
        </w:r>
      </w:hyperlink>
    </w:p>
    <w:bookmarkEnd w:id="59"/>
    <w:bookmarkStart w:id="61" w:name="ref-lush2022"/>
    <w:p>
      <w:pPr>
        <w:pStyle w:val="Bibliography"/>
      </w:pPr>
      <w:r>
        <w:t xml:space="preserve">Lush, P., Seth, A., Dienes, Z., &amp; Scott, R. B. (2022).</w:t>
      </w:r>
      <w:r>
        <w:t xml:space="preserve"> </w:t>
      </w:r>
      <w:r>
        <w:rPr>
          <w:iCs/>
          <w:i/>
        </w:rPr>
        <w:t xml:space="preserve">Trait phenomenological control in top-down and bottom-up effects: ASMR, visually evoked auditory response and the müller-lyer illusion</w:t>
      </w:r>
      <w:r>
        <w:t xml:space="preserve">.</w:t>
      </w:r>
      <w:r>
        <w:t xml:space="preserve"> </w:t>
      </w:r>
      <w:hyperlink r:id="rId60">
        <w:r>
          <w:rPr>
            <w:rStyle w:val="Hyperlink"/>
          </w:rPr>
          <w:t xml:space="preserve">http://dx.doi.org/10.31234/osf.io/hw4y9</w:t>
        </w:r>
      </w:hyperlink>
    </w:p>
    <w:bookmarkEnd w:id="61"/>
    <w:bookmarkStart w:id="63" w:name="ref-bayestestR"/>
    <w:p>
      <w:pPr>
        <w:pStyle w:val="Bibliography"/>
      </w:pPr>
      <w:r>
        <w:t xml:space="preserve">Makowski, D., Ben-Shachar, M. S., &amp; Lüdecke, D. (2019).</w:t>
      </w:r>
      <w:r>
        <w:t xml:space="preserve"> </w:t>
      </w:r>
      <w:r>
        <w:rPr>
          <w:iCs/>
          <w:i/>
        </w:rPr>
        <w:t xml:space="preserve">bayestestR: Describing effects and their uncertainty, existence and significance within the bayesian framework.</w:t>
      </w:r>
      <w:r>
        <w:t xml:space="preserve"> </w:t>
      </w:r>
      <w:r>
        <w:rPr>
          <w:iCs/>
          <w:i/>
        </w:rPr>
        <w:t xml:space="preserve">4</w:t>
      </w:r>
      <w:r>
        <w:t xml:space="preserve">, 1541.</w:t>
      </w:r>
      <w:r>
        <w:t xml:space="preserve"> </w:t>
      </w:r>
      <w:hyperlink r:id="rId62">
        <w:r>
          <w:rPr>
            <w:rStyle w:val="Hyperlink"/>
          </w:rPr>
          <w:t xml:space="preserve">https://doi.org/10.21105/joss.01541</w:t>
        </w:r>
      </w:hyperlink>
    </w:p>
    <w:bookmarkEnd w:id="63"/>
    <w:bookmarkStart w:id="65" w:name="ref-makowski2021"/>
    <w:p>
      <w:pPr>
        <w:pStyle w:val="Bibliography"/>
      </w:pPr>
      <w:r>
        <w:t xml:space="preserve">Makowski, D., Lau, Z. J., Pham, T., Paul Boyce, W., &amp; Annabel Chen, S. H. (2021). A Parametric Framework to Generate Visual Illusions Using Python.</w:t>
      </w:r>
      <w:r>
        <w:t xml:space="preserve"> </w:t>
      </w:r>
      <w:r>
        <w:rPr>
          <w:iCs/>
          <w:i/>
        </w:rPr>
        <w:t xml:space="preserve">Perception</w:t>
      </w:r>
      <w:r>
        <w:t xml:space="preserve">,</w:t>
      </w:r>
      <w:r>
        <w:t xml:space="preserve"> </w:t>
      </w:r>
      <w:r>
        <w:rPr>
          <w:iCs/>
          <w:i/>
        </w:rPr>
        <w:t xml:space="preserve">50</w:t>
      </w:r>
      <w:r>
        <w:t xml:space="preserve">(11), 950–965.</w:t>
      </w:r>
      <w:r>
        <w:t xml:space="preserve"> </w:t>
      </w:r>
      <w:hyperlink r:id="rId64">
        <w:r>
          <w:rPr>
            <w:rStyle w:val="Hyperlink"/>
          </w:rPr>
          <w:t xml:space="preserve">https://doi.org/10.1177/03010066211057347</w:t>
        </w:r>
      </w:hyperlink>
    </w:p>
    <w:bookmarkEnd w:id="65"/>
    <w:bookmarkStart w:id="67"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Cs/>
          <w:i/>
        </w:rPr>
        <w:t xml:space="preserve">Scientific Reports</w:t>
      </w:r>
      <w:r>
        <w:t xml:space="preserve">,</w:t>
      </w:r>
      <w:r>
        <w:t xml:space="preserve"> </w:t>
      </w:r>
      <w:r>
        <w:rPr>
          <w:iCs/>
          <w:i/>
        </w:rPr>
        <w:t xml:space="preserve">13</w:t>
      </w:r>
      <w:r>
        <w:t xml:space="preserve">(1).</w:t>
      </w:r>
      <w:r>
        <w:t xml:space="preserve"> </w:t>
      </w:r>
      <w:hyperlink r:id="rId66">
        <w:r>
          <w:rPr>
            <w:rStyle w:val="Hyperlink"/>
          </w:rPr>
          <w:t xml:space="preserve">https://doi.org/10.1038/s41598-023-33148-5</w:t>
        </w:r>
      </w:hyperlink>
    </w:p>
    <w:bookmarkEnd w:id="67"/>
    <w:bookmarkStart w:id="69" w:name="ref-correlation"/>
    <w:p>
      <w:pPr>
        <w:pStyle w:val="Bibliography"/>
      </w:pPr>
      <w:r>
        <w:t xml:space="preserve">Makowski, D., Wiernik, B. M., Patil, I., Lüdecke, D., &amp; Ben-Shachar, M. S. (2022).</w:t>
      </w:r>
      <w:r>
        <w:t xml:space="preserve"> </w:t>
      </w:r>
      <w:r>
        <w:rPr>
          <w:iCs/>
          <w:i/>
        </w:rPr>
        <w:t xml:space="preserve">Correlation</w:t>
      </w:r>
      <w:r>
        <w:rPr>
          <w:iCs/>
          <w:i/>
        </w:rPr>
        <w:t xml:space="preserve">: Methods for correlation analysis</w:t>
      </w:r>
      <w:r>
        <w:t xml:space="preserve">.</w:t>
      </w:r>
      <w:r>
        <w:t xml:space="preserve"> </w:t>
      </w:r>
      <w:hyperlink r:id="rId68">
        <w:r>
          <w:rPr>
            <w:rStyle w:val="Hyperlink"/>
          </w:rPr>
          <w:t xml:space="preserve">https://CRAN.R-project.org/package=correlation</w:t>
        </w:r>
      </w:hyperlink>
    </w:p>
    <w:bookmarkEnd w:id="69"/>
    <w:bookmarkStart w:id="71"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Cs/>
          <w:i/>
        </w:rPr>
        <w:t xml:space="preserve">Autism Research</w:t>
      </w:r>
      <w:r>
        <w:t xml:space="preserve">,</w:t>
      </w:r>
      <w:r>
        <w:t xml:space="preserve"> </w:t>
      </w:r>
      <w:r>
        <w:rPr>
          <w:iCs/>
          <w:i/>
        </w:rPr>
        <w:t xml:space="preserve">3</w:t>
      </w:r>
      <w:r>
        <w:t xml:space="preserve">(3), 113–119.</w:t>
      </w:r>
      <w:r>
        <w:t xml:space="preserve"> </w:t>
      </w:r>
      <w:hyperlink r:id="rId70">
        <w:r>
          <w:rPr>
            <w:rStyle w:val="Hyperlink"/>
          </w:rPr>
          <w:t xml:space="preserve">https://doi.org/10.1002/aur.130</w:t>
        </w:r>
      </w:hyperlink>
    </w:p>
    <w:bookmarkEnd w:id="71"/>
    <w:bookmarkStart w:id="73" w:name="ref-BayesFactor"/>
    <w:p>
      <w:pPr>
        <w:pStyle w:val="Bibliography"/>
      </w:pPr>
      <w:r>
        <w:t xml:space="preserve">Morey, R. D., &amp; Rouder, J. N. (2024).</w:t>
      </w:r>
      <w:r>
        <w:t xml:space="preserve"> </w:t>
      </w:r>
      <w:r>
        <w:rPr>
          <w:iCs/>
          <w:i/>
        </w:rPr>
        <w:t xml:space="preserve">BayesFactor: Computation of bayes factors for common designs</w:t>
      </w:r>
      <w:r>
        <w:t xml:space="preserve">.</w:t>
      </w:r>
      <w:r>
        <w:t xml:space="preserve"> </w:t>
      </w:r>
      <w:hyperlink r:id="rId72">
        <w:r>
          <w:rPr>
            <w:rStyle w:val="Hyperlink"/>
          </w:rPr>
          <w:t xml:space="preserve">https://CRAN.R-project.org/package=BayesFactor</w:t>
        </w:r>
      </w:hyperlink>
    </w:p>
    <w:bookmarkEnd w:id="73"/>
    <w:bookmarkStart w:id="75" w:name="ref-notredame2014"/>
    <w:p>
      <w:pPr>
        <w:pStyle w:val="Bibliography"/>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w:t>
      </w:r>
      <w:r>
        <w:t xml:space="preserve"> </w:t>
      </w:r>
      <w:hyperlink r:id="rId74">
        <w:r>
          <w:rPr>
            <w:rStyle w:val="Hyperlink"/>
          </w:rPr>
          <w:t xml:space="preserve">https://doi.org/10.3389/fnint.2014.00063</w:t>
        </w:r>
      </w:hyperlink>
    </w:p>
    <w:bookmarkEnd w:id="75"/>
    <w:bookmarkStart w:id="77" w:name="ref-palmer2017"/>
    <w:p>
      <w:pPr>
        <w:pStyle w:val="Bibliography"/>
      </w:pPr>
      <w:r>
        <w:t xml:space="preserve">Palmer, C. J., Lawson, R. P., &amp; Hohwy, J. (2017). Bayesian approaches to autism: Towards volatility, action, and behavior.</w:t>
      </w:r>
      <w:r>
        <w:t xml:space="preserve"> </w:t>
      </w:r>
      <w:r>
        <w:rPr>
          <w:iCs/>
          <w:i/>
        </w:rPr>
        <w:t xml:space="preserve">Psychological Bulletin</w:t>
      </w:r>
      <w:r>
        <w:t xml:space="preserve">,</w:t>
      </w:r>
      <w:r>
        <w:t xml:space="preserve"> </w:t>
      </w:r>
      <w:r>
        <w:rPr>
          <w:iCs/>
          <w:i/>
        </w:rPr>
        <w:t xml:space="preserve">143</w:t>
      </w:r>
      <w:r>
        <w:t xml:space="preserve">(5), 521–542.</w:t>
      </w:r>
      <w:r>
        <w:t xml:space="preserve"> </w:t>
      </w:r>
      <w:hyperlink r:id="rId76">
        <w:r>
          <w:rPr>
            <w:rStyle w:val="Hyperlink"/>
          </w:rPr>
          <w:t xml:space="preserve">https://doi.org/10.1037/bul0000097</w:t>
        </w:r>
      </w:hyperlink>
    </w:p>
    <w:bookmarkEnd w:id="77"/>
    <w:bookmarkStart w:id="79" w:name="ref-datawizard"/>
    <w:p>
      <w:pPr>
        <w:pStyle w:val="Bibliography"/>
      </w:pPr>
      <w:r>
        <w:t xml:space="preserve">Patil, I., Makowski, D., Ben-Shachar, M. S., Wiernik, B. M., Bacher, E., &amp; Lüdecke, D. (2022).</w:t>
      </w:r>
      <w:r>
        <w:t xml:space="preserve"> </w:t>
      </w:r>
      <w:r>
        <w:rPr>
          <w:iCs/>
          <w:i/>
        </w:rPr>
        <w:t xml:space="preserve">Datawizard</w:t>
      </w:r>
      <w:r>
        <w:rPr>
          <w:iCs/>
          <w:i/>
        </w:rPr>
        <w:t xml:space="preserve">: An</w:t>
      </w:r>
      <w:r>
        <w:rPr>
          <w:iCs/>
          <w:i/>
        </w:rPr>
        <w:t xml:space="preserve"> </w:t>
      </w:r>
      <w:r>
        <w:rPr>
          <w:iCs/>
          <w:i/>
        </w:rPr>
        <w:t xml:space="preserve">r</w:t>
      </w:r>
      <w:r>
        <w:rPr>
          <w:iCs/>
          <w:i/>
        </w:rPr>
        <w:t xml:space="preserve"> </w:t>
      </w:r>
      <w:r>
        <w:rPr>
          <w:iCs/>
          <w:i/>
        </w:rPr>
        <w:t xml:space="preserve">package for easy data preparation and statistical transformations</w:t>
      </w:r>
      <w:r>
        <w:t xml:space="preserve">.</w:t>
      </w:r>
      <w:r>
        <w:t xml:space="preserve"> </w:t>
      </w:r>
      <w:r>
        <w:rPr>
          <w:iCs/>
          <w:i/>
        </w:rPr>
        <w:t xml:space="preserve">7</w:t>
      </w:r>
      <w:r>
        <w:t xml:space="preserve">, 4684.</w:t>
      </w:r>
      <w:r>
        <w:t xml:space="preserve"> </w:t>
      </w:r>
      <w:hyperlink r:id="rId78">
        <w:r>
          <w:rPr>
            <w:rStyle w:val="Hyperlink"/>
          </w:rPr>
          <w:t xml:space="preserve">https://doi.org/10.21105/joss.04684</w:t>
        </w:r>
      </w:hyperlink>
    </w:p>
    <w:bookmarkEnd w:id="79"/>
    <w:bookmarkStart w:id="81" w:name="ref-shoshina2014"/>
    <w:p>
      <w:pPr>
        <w:pStyle w:val="Bibliography"/>
      </w:pPr>
      <w:r>
        <w:t xml:space="preserve">Shoshina, I. I., &amp; Shelepin, Yu. E. (2014). Effectiveness of Discrimination of the Sizes of Line Segments by Humans with Different Cognitive Style Parameters.</w:t>
      </w:r>
      <w:r>
        <w:t xml:space="preserve"> </w:t>
      </w:r>
      <w:r>
        <w:rPr>
          <w:iCs/>
          <w:i/>
        </w:rPr>
        <w:t xml:space="preserve">Neuroscience and Behavioral Physiology</w:t>
      </w:r>
      <w:r>
        <w:t xml:space="preserve">,</w:t>
      </w:r>
      <w:r>
        <w:t xml:space="preserve"> </w:t>
      </w:r>
      <w:r>
        <w:rPr>
          <w:iCs/>
          <w:i/>
        </w:rPr>
        <w:t xml:space="preserve">44</w:t>
      </w:r>
      <w:r>
        <w:t xml:space="preserve">(7), 748–753.</w:t>
      </w:r>
      <w:r>
        <w:t xml:space="preserve"> </w:t>
      </w:r>
      <w:hyperlink r:id="rId80">
        <w:r>
          <w:rPr>
            <w:rStyle w:val="Hyperlink"/>
          </w:rPr>
          <w:t xml:space="preserve">https://doi.org/10.1007/s11055-014-9978-2</w:t>
        </w:r>
      </w:hyperlink>
    </w:p>
    <w:bookmarkEnd w:id="81"/>
    <w:bookmarkStart w:id="82"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Cs/>
          <w:i/>
        </w:rPr>
        <w:t xml:space="preserve">New Zealand Journal of Psychology</w:t>
      </w:r>
      <w:r>
        <w:t xml:space="preserve">,</w:t>
      </w:r>
      <w:r>
        <w:t xml:space="preserve"> </w:t>
      </w:r>
      <w:r>
        <w:rPr>
          <w:iCs/>
          <w:i/>
        </w:rPr>
        <w:t xml:space="preserve">40</w:t>
      </w:r>
      <w:r>
        <w:t xml:space="preserve">(3).</w:t>
      </w:r>
    </w:p>
    <w:bookmarkEnd w:id="82"/>
    <w:bookmarkStart w:id="84" w:name="ref-sundareswara2008"/>
    <w:p>
      <w:pPr>
        <w:pStyle w:val="Bibliography"/>
      </w:pPr>
      <w:r>
        <w:t xml:space="preserve">Sundareswara, R., &amp; Schrater, P. R. (2008). Perceptual multistability predicted by search model for Bayesian decisions.</w:t>
      </w:r>
      <w:r>
        <w:t xml:space="preserve"> </w:t>
      </w:r>
      <w:r>
        <w:rPr>
          <w:iCs/>
          <w:i/>
        </w:rPr>
        <w:t xml:space="preserve">Journal of Vision</w:t>
      </w:r>
      <w:r>
        <w:t xml:space="preserve">,</w:t>
      </w:r>
      <w:r>
        <w:t xml:space="preserve"> </w:t>
      </w:r>
      <w:r>
        <w:rPr>
          <w:iCs/>
          <w:i/>
        </w:rPr>
        <w:t xml:space="preserve">8</w:t>
      </w:r>
      <w:r>
        <w:t xml:space="preserve">(5), 12.</w:t>
      </w:r>
      <w:r>
        <w:t xml:space="preserve"> </w:t>
      </w:r>
      <w:hyperlink r:id="rId83">
        <w:r>
          <w:rPr>
            <w:rStyle w:val="Hyperlink"/>
          </w:rPr>
          <w:t xml:space="preserve">https://doi.org/10.1167/8.5.12</w:t>
        </w:r>
      </w:hyperlink>
    </w:p>
    <w:bookmarkEnd w:id="84"/>
    <w:bookmarkStart w:id="86"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Cs/>
          <w:i/>
        </w:rPr>
        <w:t xml:space="preserve">Behavior Research Methods</w:t>
      </w:r>
      <w:r>
        <w:t xml:space="preserve">.</w:t>
      </w:r>
      <w:r>
        <w:t xml:space="preserve"> </w:t>
      </w:r>
      <w:hyperlink r:id="rId85">
        <w:r>
          <w:rPr>
            <w:rStyle w:val="Hyperlink"/>
          </w:rPr>
          <w:t xml:space="preserve">https://doi.org/10.3758/s13428-024-02356-w</w:t>
        </w:r>
      </w:hyperlink>
    </w:p>
    <w:bookmarkEnd w:id="86"/>
    <w:bookmarkStart w:id="88" w:name="ref-todorovic2020"/>
    <w:p>
      <w:pPr>
        <w:pStyle w:val="Bibliography"/>
      </w:pPr>
      <w:r>
        <w:t xml:space="preserve">Todorović, D. (2020). What Are Visual Illusions?</w:t>
      </w:r>
      <w:r>
        <w:t xml:space="preserve"> </w:t>
      </w:r>
      <w:r>
        <w:rPr>
          <w:iCs/>
          <w:i/>
        </w:rPr>
        <w:t xml:space="preserve">Perception</w:t>
      </w:r>
      <w:r>
        <w:t xml:space="preserve">,</w:t>
      </w:r>
      <w:r>
        <w:t xml:space="preserve"> </w:t>
      </w:r>
      <w:r>
        <w:rPr>
          <w:iCs/>
          <w:i/>
        </w:rPr>
        <w:t xml:space="preserve">49</w:t>
      </w:r>
      <w:r>
        <w:t xml:space="preserve">(11), 1128–1199.</w:t>
      </w:r>
      <w:r>
        <w:t xml:space="preserve"> </w:t>
      </w:r>
      <w:hyperlink r:id="rId87">
        <w:r>
          <w:rPr>
            <w:rStyle w:val="Hyperlink"/>
          </w:rPr>
          <w:t xml:space="preserve">https://doi.org/10.1177/0301006620962279</w:t>
        </w:r>
      </w:hyperlink>
    </w:p>
    <w:bookmarkEnd w:id="88"/>
    <w:bookmarkStart w:id="90"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89">
        <w:r>
          <w:rPr>
            <w:rStyle w:val="Hyperlink"/>
          </w:rPr>
          <w:t xml:space="preserve">https://doi.org/10.21105/joss.01686</w:t>
        </w:r>
      </w:hyperlink>
    </w:p>
    <w:bookmarkEnd w:id="90"/>
    <w:bookmarkEnd w:id="91"/>
    <w:sectPr>
      <w:lnNumType w:countBy="1" w:restart="continuous"/>
    </w:sectPr>
    <w:bookmarkEnd w:id="92"/>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0" Target="http://dx.doi.org/10.31234/osf.io/hw4y9" TargetMode="External" /><Relationship Type="http://schemas.openxmlformats.org/officeDocument/2006/relationships/hyperlink" Id="rId72" Target="https://CRAN.R-project.org/package=BayesFactor" TargetMode="External" /><Relationship Type="http://schemas.openxmlformats.org/officeDocument/2006/relationships/hyperlink" Id="rId68" Target="https://CRAN.R-project.org/package=correlation" TargetMode="External" /><Relationship Type="http://schemas.openxmlformats.org/officeDocument/2006/relationships/hyperlink" Id="rId70" Target="https://doi.org/10.1002/aur.130" TargetMode="External" /><Relationship Type="http://schemas.openxmlformats.org/officeDocument/2006/relationships/hyperlink" Id="rId80" Target="https://doi.org/10.1007/s11055-014-9978-2" TargetMode="External" /><Relationship Type="http://schemas.openxmlformats.org/officeDocument/2006/relationships/hyperlink" Id="rId37" Target="https://doi.org/10.1016/j.schres.2022.12.030" TargetMode="External" /><Relationship Type="http://schemas.openxmlformats.org/officeDocument/2006/relationships/hyperlink" Id="rId76" Target="https://doi.org/10.1037/bul0000097" TargetMode="External" /><Relationship Type="http://schemas.openxmlformats.org/officeDocument/2006/relationships/hyperlink" Id="rId42" Target="https://doi.org/10.1037/cns0000230" TargetMode="External" /><Relationship Type="http://schemas.openxmlformats.org/officeDocument/2006/relationships/hyperlink" Id="rId44" Target="https://doi.org/10.1038/nrn2787" TargetMode="External" /><Relationship Type="http://schemas.openxmlformats.org/officeDocument/2006/relationships/hyperlink" Id="rId66" Target="https://doi.org/10.1038/s41598-023-33148-5" TargetMode="External" /><Relationship Type="http://schemas.openxmlformats.org/officeDocument/2006/relationships/hyperlink" Id="rId50" Target="https://doi.org/10.1080/00223891.2011.577478" TargetMode="External" /><Relationship Type="http://schemas.openxmlformats.org/officeDocument/2006/relationships/hyperlink" Id="rId56" Target="https://doi.org/10.1093/nc/niy006" TargetMode="External" /><Relationship Type="http://schemas.openxmlformats.org/officeDocument/2006/relationships/hyperlink" Id="rId46" Target="https://doi.org/10.1162/neco_a_00226" TargetMode="External" /><Relationship Type="http://schemas.openxmlformats.org/officeDocument/2006/relationships/hyperlink" Id="rId83" Target="https://doi.org/10.1167/8.5.12" TargetMode="External" /><Relationship Type="http://schemas.openxmlformats.org/officeDocument/2006/relationships/hyperlink" Id="rId87" Target="https://doi.org/10.1177/0301006620962279" TargetMode="External" /><Relationship Type="http://schemas.openxmlformats.org/officeDocument/2006/relationships/hyperlink" Id="rId64" Target="https://doi.org/10.1177/03010066211057347" TargetMode="External" /><Relationship Type="http://schemas.openxmlformats.org/officeDocument/2006/relationships/hyperlink" Id="rId58" Target="https://doi.org/10.1525/collabra.29542" TargetMode="External" /><Relationship Type="http://schemas.openxmlformats.org/officeDocument/2006/relationships/hyperlink" Id="rId62" Target="https://doi.org/10.21105/joss.01541" TargetMode="External" /><Relationship Type="http://schemas.openxmlformats.org/officeDocument/2006/relationships/hyperlink" Id="rId89" Target="https://doi.org/10.21105/joss.01686" TargetMode="External" /><Relationship Type="http://schemas.openxmlformats.org/officeDocument/2006/relationships/hyperlink" Id="rId52" Target="https://doi.org/10.21105/joss.02445" TargetMode="External" /><Relationship Type="http://schemas.openxmlformats.org/officeDocument/2006/relationships/hyperlink" Id="rId78" Target="https://doi.org/10.21105/joss.04684" TargetMode="External" /><Relationship Type="http://schemas.openxmlformats.org/officeDocument/2006/relationships/hyperlink" Id="rId48" Target="https://doi.org/10.3389/fnhum.2016.00175" TargetMode="External" /><Relationship Type="http://schemas.openxmlformats.org/officeDocument/2006/relationships/hyperlink" Id="rId74" Target="https://doi.org/10.3389/fnint.2014.00063" TargetMode="External" /><Relationship Type="http://schemas.openxmlformats.org/officeDocument/2006/relationships/hyperlink" Id="rId40" Target="https://doi.org/10.3758/s13428-023-02161-x" TargetMode="External" /><Relationship Type="http://schemas.openxmlformats.org/officeDocument/2006/relationships/hyperlink" Id="rId85" Target="https://doi.org/10.3758/s13428-024-02356-w" TargetMode="External" /><Relationship Type="http://schemas.openxmlformats.org/officeDocument/2006/relationships/hyperlink" Id="rId54"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60" Target="http://dx.doi.org/10.31234/osf.io/hw4y9" TargetMode="External" /><Relationship Type="http://schemas.openxmlformats.org/officeDocument/2006/relationships/hyperlink" Id="rId72" Target="https://CRAN.R-project.org/package=BayesFactor" TargetMode="External" /><Relationship Type="http://schemas.openxmlformats.org/officeDocument/2006/relationships/hyperlink" Id="rId68" Target="https://CRAN.R-project.org/package=correlation" TargetMode="External" /><Relationship Type="http://schemas.openxmlformats.org/officeDocument/2006/relationships/hyperlink" Id="rId70" Target="https://doi.org/10.1002/aur.130" TargetMode="External" /><Relationship Type="http://schemas.openxmlformats.org/officeDocument/2006/relationships/hyperlink" Id="rId80" Target="https://doi.org/10.1007/s11055-014-9978-2" TargetMode="External" /><Relationship Type="http://schemas.openxmlformats.org/officeDocument/2006/relationships/hyperlink" Id="rId37" Target="https://doi.org/10.1016/j.schres.2022.12.030" TargetMode="External" /><Relationship Type="http://schemas.openxmlformats.org/officeDocument/2006/relationships/hyperlink" Id="rId76" Target="https://doi.org/10.1037/bul0000097" TargetMode="External" /><Relationship Type="http://schemas.openxmlformats.org/officeDocument/2006/relationships/hyperlink" Id="rId42" Target="https://doi.org/10.1037/cns0000230" TargetMode="External" /><Relationship Type="http://schemas.openxmlformats.org/officeDocument/2006/relationships/hyperlink" Id="rId44" Target="https://doi.org/10.1038/nrn2787" TargetMode="External" /><Relationship Type="http://schemas.openxmlformats.org/officeDocument/2006/relationships/hyperlink" Id="rId66" Target="https://doi.org/10.1038/s41598-023-33148-5" TargetMode="External" /><Relationship Type="http://schemas.openxmlformats.org/officeDocument/2006/relationships/hyperlink" Id="rId50" Target="https://doi.org/10.1080/00223891.2011.577478" TargetMode="External" /><Relationship Type="http://schemas.openxmlformats.org/officeDocument/2006/relationships/hyperlink" Id="rId56" Target="https://doi.org/10.1093/nc/niy006" TargetMode="External" /><Relationship Type="http://schemas.openxmlformats.org/officeDocument/2006/relationships/hyperlink" Id="rId46" Target="https://doi.org/10.1162/neco_a_00226" TargetMode="External" /><Relationship Type="http://schemas.openxmlformats.org/officeDocument/2006/relationships/hyperlink" Id="rId83" Target="https://doi.org/10.1167/8.5.12" TargetMode="External" /><Relationship Type="http://schemas.openxmlformats.org/officeDocument/2006/relationships/hyperlink" Id="rId87" Target="https://doi.org/10.1177/0301006620962279" TargetMode="External" /><Relationship Type="http://schemas.openxmlformats.org/officeDocument/2006/relationships/hyperlink" Id="rId64" Target="https://doi.org/10.1177/03010066211057347" TargetMode="External" /><Relationship Type="http://schemas.openxmlformats.org/officeDocument/2006/relationships/hyperlink" Id="rId58" Target="https://doi.org/10.1525/collabra.29542" TargetMode="External" /><Relationship Type="http://schemas.openxmlformats.org/officeDocument/2006/relationships/hyperlink" Id="rId62" Target="https://doi.org/10.21105/joss.01541" TargetMode="External" /><Relationship Type="http://schemas.openxmlformats.org/officeDocument/2006/relationships/hyperlink" Id="rId89" Target="https://doi.org/10.21105/joss.01686" TargetMode="External" /><Relationship Type="http://schemas.openxmlformats.org/officeDocument/2006/relationships/hyperlink" Id="rId52" Target="https://doi.org/10.21105/joss.02445" TargetMode="External" /><Relationship Type="http://schemas.openxmlformats.org/officeDocument/2006/relationships/hyperlink" Id="rId78" Target="https://doi.org/10.21105/joss.04684" TargetMode="External" /><Relationship Type="http://schemas.openxmlformats.org/officeDocument/2006/relationships/hyperlink" Id="rId48" Target="https://doi.org/10.3389/fnhum.2016.00175" TargetMode="External" /><Relationship Type="http://schemas.openxmlformats.org/officeDocument/2006/relationships/hyperlink" Id="rId74" Target="https://doi.org/10.3389/fnint.2014.00063" TargetMode="External" /><Relationship Type="http://schemas.openxmlformats.org/officeDocument/2006/relationships/hyperlink" Id="rId40" Target="https://doi.org/10.3758/s13428-023-02161-x" TargetMode="External" /><Relationship Type="http://schemas.openxmlformats.org/officeDocument/2006/relationships/hyperlink" Id="rId85" Target="https://doi.org/10.3758/s13428-024-02356-w" TargetMode="External" /><Relationship Type="http://schemas.openxmlformats.org/officeDocument/2006/relationships/hyperlink" Id="rId54"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2024-04-26T08:45:38Z</dcterms:created>
  <dcterms:modified xsi:type="dcterms:W3CDTF">2024-04-26T08:45:38Z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